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F55" w:rsidRPr="0028452A" w:rsidRDefault="00B91CCF" w:rsidP="0028452A">
      <w:pPr>
        <w:rPr>
          <w:rFonts w:ascii="Arial" w:hAnsi="Arial" w:cs="Arial"/>
        </w:rPr>
      </w:pPr>
      <w:r w:rsidRPr="0028452A">
        <w:rPr>
          <w:rFonts w:ascii="Arial" w:hAnsi="Arial" w:cs="Arial"/>
        </w:rPr>
        <w:t xml:space="preserve"> </w:t>
      </w:r>
    </w:p>
    <w:p w:rsidR="003A4037" w:rsidRDefault="003A4037" w:rsidP="007F1390">
      <w:pPr>
        <w:jc w:val="center"/>
        <w:rPr>
          <w:rFonts w:ascii="Arial" w:hAnsi="Arial" w:cs="Arial"/>
          <w:b/>
          <w:sz w:val="32"/>
          <w:szCs w:val="32"/>
        </w:rPr>
      </w:pPr>
    </w:p>
    <w:p w:rsidR="00E25F55" w:rsidRPr="008A408F" w:rsidRDefault="00B456B6" w:rsidP="007F1390">
      <w:pPr>
        <w:jc w:val="center"/>
        <w:rPr>
          <w:rFonts w:ascii="Arial" w:hAnsi="Arial" w:cs="Arial"/>
          <w:b/>
          <w:sz w:val="32"/>
          <w:szCs w:val="32"/>
        </w:rPr>
      </w:pPr>
      <w:r>
        <w:rPr>
          <w:rFonts w:ascii="Arial" w:hAnsi="Arial" w:cs="Arial"/>
          <w:b/>
          <w:sz w:val="32"/>
          <w:szCs w:val="32"/>
        </w:rPr>
        <w:t xml:space="preserve">Applying public health learning in clinical practice through quality assurance </w:t>
      </w:r>
    </w:p>
    <w:p w:rsidR="00337C1D" w:rsidRDefault="00B456B6" w:rsidP="0024226A">
      <w:pPr>
        <w:spacing w:after="0" w:line="240" w:lineRule="auto"/>
        <w:jc w:val="center"/>
        <w:rPr>
          <w:rFonts w:ascii="Arial" w:hAnsi="Arial" w:cs="Arial"/>
          <w:b/>
          <w:sz w:val="28"/>
          <w:u w:val="single"/>
        </w:rPr>
      </w:pPr>
      <w:r>
        <w:rPr>
          <w:rFonts w:ascii="Arial" w:hAnsi="Arial" w:cs="Arial"/>
          <w:b/>
          <w:sz w:val="28"/>
          <w:u w:val="single"/>
        </w:rPr>
        <w:t>T</w:t>
      </w:r>
      <w:r w:rsidR="00D65D25">
        <w:rPr>
          <w:rFonts w:ascii="Arial" w:hAnsi="Arial" w:cs="Arial"/>
          <w:b/>
          <w:sz w:val="28"/>
          <w:u w:val="single"/>
        </w:rPr>
        <w:t>uesday 1</w:t>
      </w:r>
      <w:r w:rsidR="00D65D25" w:rsidRPr="00D65D25">
        <w:rPr>
          <w:rFonts w:ascii="Arial" w:hAnsi="Arial" w:cs="Arial"/>
          <w:b/>
          <w:sz w:val="28"/>
          <w:u w:val="single"/>
          <w:vertAlign w:val="superscript"/>
        </w:rPr>
        <w:t>st</w:t>
      </w:r>
      <w:r w:rsidR="00D65D25">
        <w:rPr>
          <w:rFonts w:ascii="Arial" w:hAnsi="Arial" w:cs="Arial"/>
          <w:b/>
          <w:sz w:val="28"/>
          <w:u w:val="single"/>
        </w:rPr>
        <w:t xml:space="preserve"> November </w:t>
      </w:r>
      <w:r w:rsidR="00337C1D" w:rsidRPr="0028452A">
        <w:rPr>
          <w:rFonts w:ascii="Arial" w:hAnsi="Arial" w:cs="Arial"/>
          <w:b/>
          <w:sz w:val="28"/>
          <w:u w:val="single"/>
        </w:rPr>
        <w:t>2016</w:t>
      </w:r>
    </w:p>
    <w:p w:rsidR="008A408F" w:rsidRDefault="0032472A" w:rsidP="0024226A">
      <w:pPr>
        <w:spacing w:after="0" w:line="240" w:lineRule="auto"/>
        <w:jc w:val="center"/>
        <w:rPr>
          <w:rFonts w:ascii="Arial" w:hAnsi="Arial" w:cs="Arial"/>
          <w:b/>
          <w:sz w:val="24"/>
          <w:szCs w:val="24"/>
        </w:rPr>
      </w:pPr>
      <w:r>
        <w:rPr>
          <w:rFonts w:ascii="Arial" w:hAnsi="Arial" w:cs="Arial"/>
          <w:b/>
          <w:sz w:val="24"/>
          <w:szCs w:val="24"/>
        </w:rPr>
        <w:t xml:space="preserve">9.30 – 2pm </w:t>
      </w:r>
    </w:p>
    <w:p w:rsidR="0024226A" w:rsidRPr="008A408F" w:rsidRDefault="0024226A" w:rsidP="0024226A">
      <w:pPr>
        <w:spacing w:after="0" w:line="240" w:lineRule="auto"/>
        <w:jc w:val="center"/>
        <w:rPr>
          <w:rFonts w:ascii="Arial" w:hAnsi="Arial" w:cs="Arial"/>
          <w:b/>
          <w:sz w:val="24"/>
          <w:szCs w:val="24"/>
        </w:rPr>
      </w:pPr>
    </w:p>
    <w:p w:rsidR="0082416C" w:rsidRDefault="0082416C" w:rsidP="0024226A">
      <w:pPr>
        <w:spacing w:after="0" w:line="240" w:lineRule="auto"/>
        <w:jc w:val="center"/>
        <w:rPr>
          <w:rFonts w:ascii="Arial" w:hAnsi="Arial" w:cs="Arial"/>
          <w:b/>
        </w:rPr>
      </w:pPr>
      <w:r>
        <w:rPr>
          <w:rFonts w:ascii="Arial" w:hAnsi="Arial" w:cs="Arial"/>
          <w:b/>
        </w:rPr>
        <w:t xml:space="preserve">Manchester Metropolitan University </w:t>
      </w:r>
    </w:p>
    <w:p w:rsidR="002B5456" w:rsidRDefault="0082416C" w:rsidP="0024226A">
      <w:pPr>
        <w:spacing w:after="0" w:line="240" w:lineRule="auto"/>
        <w:jc w:val="center"/>
        <w:rPr>
          <w:rFonts w:ascii="Arial" w:hAnsi="Arial" w:cs="Arial"/>
          <w:b/>
        </w:rPr>
      </w:pPr>
      <w:r>
        <w:rPr>
          <w:rFonts w:ascii="Arial" w:hAnsi="Arial" w:cs="Arial"/>
          <w:b/>
        </w:rPr>
        <w:t xml:space="preserve">Room </w:t>
      </w:r>
      <w:r w:rsidRPr="0082416C">
        <w:rPr>
          <w:rFonts w:ascii="Arial" w:hAnsi="Arial" w:cs="Arial"/>
          <w:b/>
        </w:rPr>
        <w:t xml:space="preserve">BS 4.44 in the MMU Business School All Saints Campus, Oxford Rd, </w:t>
      </w:r>
      <w:hyperlink r:id="rId8" w:history="1">
        <w:r w:rsidRPr="006974FD">
          <w:rPr>
            <w:rStyle w:val="Hyperlink"/>
            <w:rFonts w:ascii="Arial" w:hAnsi="Arial" w:cs="Arial"/>
            <w:b/>
          </w:rPr>
          <w:t>Manchester M15 6BH</w:t>
        </w:r>
      </w:hyperlink>
    </w:p>
    <w:p w:rsidR="0082416C" w:rsidRDefault="0082416C" w:rsidP="0024226A">
      <w:pPr>
        <w:spacing w:after="0" w:line="240" w:lineRule="auto"/>
        <w:jc w:val="center"/>
        <w:rPr>
          <w:rFonts w:ascii="Arial" w:hAnsi="Arial" w:cs="Arial"/>
          <w:b/>
        </w:rPr>
      </w:pPr>
    </w:p>
    <w:p w:rsidR="00EE2E57" w:rsidRDefault="00EE2E57" w:rsidP="009D353A">
      <w:pPr>
        <w:spacing w:after="0" w:line="240" w:lineRule="auto"/>
        <w:ind w:right="-188"/>
        <w:rPr>
          <w:rFonts w:ascii="Arial" w:hAnsi="Arial" w:cs="Arial"/>
          <w:b/>
        </w:rPr>
      </w:pPr>
      <w:r w:rsidRPr="0028452A">
        <w:rPr>
          <w:rFonts w:ascii="Arial" w:hAnsi="Arial" w:cs="Arial"/>
          <w:b/>
        </w:rPr>
        <w:t>Background</w:t>
      </w:r>
      <w:r w:rsidR="00475209">
        <w:rPr>
          <w:rFonts w:ascii="Arial" w:hAnsi="Arial" w:cs="Arial"/>
          <w:b/>
        </w:rPr>
        <w:t xml:space="preserve"> and purpose</w:t>
      </w:r>
      <w:r w:rsidRPr="0028452A">
        <w:rPr>
          <w:rFonts w:ascii="Arial" w:hAnsi="Arial" w:cs="Arial"/>
          <w:b/>
        </w:rPr>
        <w:t>:</w:t>
      </w:r>
    </w:p>
    <w:p w:rsidR="00DF3075" w:rsidRPr="0028452A" w:rsidRDefault="00DF3075" w:rsidP="0024226A">
      <w:pPr>
        <w:spacing w:after="0" w:line="240" w:lineRule="auto"/>
        <w:rPr>
          <w:rFonts w:ascii="Arial" w:hAnsi="Arial" w:cs="Arial"/>
          <w:b/>
        </w:rPr>
      </w:pPr>
    </w:p>
    <w:p w:rsidR="00EE1440" w:rsidRDefault="00444C30" w:rsidP="0028452A">
      <w:pPr>
        <w:rPr>
          <w:rFonts w:ascii="Arial" w:hAnsi="Arial" w:cs="Arial"/>
        </w:rPr>
      </w:pPr>
      <w:r>
        <w:rPr>
          <w:rFonts w:ascii="Arial" w:hAnsi="Arial" w:cs="Arial"/>
        </w:rPr>
        <w:t>Health Education England</w:t>
      </w:r>
      <w:r w:rsidR="001807D8">
        <w:rPr>
          <w:rFonts w:ascii="Arial" w:hAnsi="Arial" w:cs="Arial"/>
        </w:rPr>
        <w:t>’s</w:t>
      </w:r>
      <w:r w:rsidR="008A408F">
        <w:rPr>
          <w:rFonts w:ascii="Arial" w:hAnsi="Arial" w:cs="Arial"/>
        </w:rPr>
        <w:t xml:space="preserve"> North W</w:t>
      </w:r>
      <w:r>
        <w:rPr>
          <w:rFonts w:ascii="Arial" w:hAnsi="Arial" w:cs="Arial"/>
        </w:rPr>
        <w:t>est</w:t>
      </w:r>
      <w:r w:rsidR="001807D8">
        <w:rPr>
          <w:rFonts w:ascii="Arial" w:hAnsi="Arial" w:cs="Arial"/>
        </w:rPr>
        <w:t xml:space="preserve"> Team</w:t>
      </w:r>
      <w:r w:rsidR="008A408F">
        <w:rPr>
          <w:rFonts w:ascii="Arial" w:hAnsi="Arial" w:cs="Arial"/>
        </w:rPr>
        <w:t xml:space="preserve"> (</w:t>
      </w:r>
      <w:r w:rsidR="001807D8">
        <w:rPr>
          <w:rFonts w:ascii="Arial" w:hAnsi="Arial" w:cs="Arial"/>
        </w:rPr>
        <w:t xml:space="preserve">HEE </w:t>
      </w:r>
      <w:r w:rsidR="008A408F">
        <w:rPr>
          <w:rFonts w:ascii="Arial" w:hAnsi="Arial" w:cs="Arial"/>
        </w:rPr>
        <w:t>NW) presents</w:t>
      </w:r>
      <w:r w:rsidR="009D353A">
        <w:rPr>
          <w:rFonts w:ascii="Arial" w:hAnsi="Arial" w:cs="Arial"/>
        </w:rPr>
        <w:t xml:space="preserve"> a health and </w:t>
      </w:r>
      <w:r w:rsidR="00700077">
        <w:rPr>
          <w:rFonts w:ascii="Arial" w:hAnsi="Arial" w:cs="Arial"/>
        </w:rPr>
        <w:t>wellbeing workshop for educators supporting healthcare learners in the North West’s learning environments.</w:t>
      </w:r>
      <w:r w:rsidR="008A408F">
        <w:rPr>
          <w:rFonts w:ascii="Arial" w:hAnsi="Arial" w:cs="Arial"/>
        </w:rPr>
        <w:t xml:space="preserve"> </w:t>
      </w:r>
      <w:r w:rsidR="00EE1440">
        <w:rPr>
          <w:rFonts w:ascii="Arial" w:hAnsi="Arial" w:cs="Arial"/>
        </w:rPr>
        <w:t xml:space="preserve"> </w:t>
      </w:r>
    </w:p>
    <w:p w:rsidR="00D83ADD" w:rsidRPr="00D83ADD" w:rsidRDefault="00475209" w:rsidP="0028452A">
      <w:pPr>
        <w:rPr>
          <w:rFonts w:ascii="Arial" w:hAnsi="Arial" w:cs="Arial"/>
        </w:rPr>
      </w:pPr>
      <w:r>
        <w:rPr>
          <w:rFonts w:ascii="Arial" w:hAnsi="Arial" w:cs="Arial"/>
        </w:rPr>
        <w:t>The purpose of the event is to build on the recently developed public health benchmarking and action planning tool to ensure placement capacity, capability and quality is supported to ensure public health learning outcomes can be met by all healthcare learners on placements in the North West.</w:t>
      </w:r>
    </w:p>
    <w:p w:rsidR="00EE2E57" w:rsidRDefault="00EE2E57" w:rsidP="0028452A">
      <w:pPr>
        <w:rPr>
          <w:rFonts w:ascii="Arial" w:hAnsi="Arial" w:cs="Arial"/>
          <w:b/>
        </w:rPr>
      </w:pPr>
      <w:r w:rsidRPr="0028452A">
        <w:rPr>
          <w:rFonts w:ascii="Arial" w:hAnsi="Arial" w:cs="Arial"/>
          <w:b/>
        </w:rPr>
        <w:t>Who should attend?</w:t>
      </w:r>
    </w:p>
    <w:p w:rsidR="00700077" w:rsidRDefault="00B456B6" w:rsidP="0028452A">
      <w:pPr>
        <w:rPr>
          <w:rFonts w:ascii="Arial" w:hAnsi="Arial" w:cs="Arial"/>
        </w:rPr>
      </w:pPr>
      <w:r w:rsidRPr="00B456B6">
        <w:rPr>
          <w:rFonts w:ascii="Arial" w:hAnsi="Arial" w:cs="Arial"/>
        </w:rPr>
        <w:t xml:space="preserve">This </w:t>
      </w:r>
      <w:r>
        <w:rPr>
          <w:rFonts w:ascii="Arial" w:hAnsi="Arial" w:cs="Arial"/>
        </w:rPr>
        <w:t xml:space="preserve">workshop is aimed at the </w:t>
      </w:r>
      <w:r w:rsidR="00700077">
        <w:rPr>
          <w:rFonts w:ascii="Arial" w:hAnsi="Arial" w:cs="Arial"/>
        </w:rPr>
        <w:t>following:</w:t>
      </w:r>
    </w:p>
    <w:p w:rsidR="00700077" w:rsidRDefault="00700077" w:rsidP="00700077">
      <w:pPr>
        <w:pStyle w:val="ListParagraph"/>
        <w:numPr>
          <w:ilvl w:val="0"/>
          <w:numId w:val="10"/>
        </w:numPr>
        <w:rPr>
          <w:rFonts w:ascii="Arial" w:hAnsi="Arial" w:cs="Arial"/>
        </w:rPr>
      </w:pPr>
      <w:r>
        <w:rPr>
          <w:rFonts w:ascii="Arial" w:hAnsi="Arial" w:cs="Arial"/>
        </w:rPr>
        <w:t xml:space="preserve">The North West’s </w:t>
      </w:r>
      <w:r w:rsidRPr="00700077">
        <w:rPr>
          <w:rFonts w:ascii="Arial" w:hAnsi="Arial" w:cs="Arial"/>
        </w:rPr>
        <w:t xml:space="preserve">learning environment support networks – Practice Education </w:t>
      </w:r>
      <w:r w:rsidR="0022575E">
        <w:rPr>
          <w:rFonts w:ascii="Arial" w:hAnsi="Arial" w:cs="Arial"/>
        </w:rPr>
        <w:t>F</w:t>
      </w:r>
      <w:r w:rsidRPr="00700077">
        <w:rPr>
          <w:rFonts w:ascii="Arial" w:hAnsi="Arial" w:cs="Arial"/>
        </w:rPr>
        <w:t>acilitators, Placement Devel</w:t>
      </w:r>
      <w:r w:rsidR="0022575E">
        <w:rPr>
          <w:rFonts w:ascii="Arial" w:hAnsi="Arial" w:cs="Arial"/>
        </w:rPr>
        <w:t>opment network, and Work Based Education F</w:t>
      </w:r>
      <w:r w:rsidRPr="00700077">
        <w:rPr>
          <w:rFonts w:ascii="Arial" w:hAnsi="Arial" w:cs="Arial"/>
        </w:rPr>
        <w:t>acilitators.</w:t>
      </w:r>
      <w:r w:rsidR="00B456B6" w:rsidRPr="00700077">
        <w:rPr>
          <w:rFonts w:ascii="Arial" w:hAnsi="Arial" w:cs="Arial"/>
        </w:rPr>
        <w:t xml:space="preserve"> </w:t>
      </w:r>
    </w:p>
    <w:p w:rsidR="0014230D" w:rsidRDefault="0014230D" w:rsidP="0014230D">
      <w:pPr>
        <w:pStyle w:val="ListParagraph"/>
        <w:rPr>
          <w:rFonts w:ascii="Arial" w:hAnsi="Arial" w:cs="Arial"/>
        </w:rPr>
      </w:pPr>
    </w:p>
    <w:p w:rsidR="0014230D" w:rsidRDefault="0014230D" w:rsidP="00700077">
      <w:pPr>
        <w:pStyle w:val="ListParagraph"/>
        <w:numPr>
          <w:ilvl w:val="0"/>
          <w:numId w:val="10"/>
        </w:numPr>
        <w:rPr>
          <w:rFonts w:ascii="Arial" w:hAnsi="Arial" w:cs="Arial"/>
        </w:rPr>
      </w:pPr>
      <w:r>
        <w:rPr>
          <w:rFonts w:ascii="Arial" w:hAnsi="Arial" w:cs="Arial"/>
        </w:rPr>
        <w:t>Placement Leads in Education Providers</w:t>
      </w:r>
    </w:p>
    <w:p w:rsidR="00E330B5" w:rsidRDefault="00E330B5" w:rsidP="00E330B5">
      <w:pPr>
        <w:pStyle w:val="ListParagraph"/>
        <w:rPr>
          <w:rFonts w:ascii="Arial" w:hAnsi="Arial" w:cs="Arial"/>
        </w:rPr>
      </w:pPr>
    </w:p>
    <w:p w:rsidR="00B456B6" w:rsidRDefault="00700077" w:rsidP="00700077">
      <w:pPr>
        <w:pStyle w:val="ListParagraph"/>
        <w:numPr>
          <w:ilvl w:val="0"/>
          <w:numId w:val="10"/>
        </w:numPr>
        <w:rPr>
          <w:rFonts w:ascii="Arial" w:hAnsi="Arial" w:cs="Arial"/>
        </w:rPr>
      </w:pPr>
      <w:r>
        <w:rPr>
          <w:rFonts w:ascii="Arial" w:hAnsi="Arial" w:cs="Arial"/>
        </w:rPr>
        <w:t>E</w:t>
      </w:r>
      <w:r w:rsidR="00B456B6" w:rsidRPr="00700077">
        <w:rPr>
          <w:rFonts w:ascii="Arial" w:hAnsi="Arial" w:cs="Arial"/>
        </w:rPr>
        <w:t>ducator</w:t>
      </w:r>
      <w:r>
        <w:rPr>
          <w:rFonts w:ascii="Arial" w:hAnsi="Arial" w:cs="Arial"/>
        </w:rPr>
        <w:t>s</w:t>
      </w:r>
      <w:r w:rsidR="00B456B6" w:rsidRPr="00700077">
        <w:rPr>
          <w:rFonts w:ascii="Arial" w:hAnsi="Arial" w:cs="Arial"/>
        </w:rPr>
        <w:t xml:space="preserve"> in clinical placement provider sett</w:t>
      </w:r>
      <w:r>
        <w:rPr>
          <w:rFonts w:ascii="Arial" w:hAnsi="Arial" w:cs="Arial"/>
        </w:rPr>
        <w:t>ings</w:t>
      </w:r>
    </w:p>
    <w:p w:rsidR="00700077" w:rsidRPr="00700077" w:rsidRDefault="00700077" w:rsidP="00700077">
      <w:pPr>
        <w:pStyle w:val="ListParagraph"/>
        <w:rPr>
          <w:rFonts w:ascii="Arial" w:hAnsi="Arial" w:cs="Arial"/>
        </w:rPr>
      </w:pPr>
    </w:p>
    <w:p w:rsidR="00E25F55" w:rsidRPr="005D535E" w:rsidRDefault="00700077" w:rsidP="0028452A">
      <w:pPr>
        <w:rPr>
          <w:rFonts w:ascii="Arial" w:hAnsi="Arial" w:cs="Arial"/>
          <w:b/>
        </w:rPr>
      </w:pPr>
      <w:r>
        <w:rPr>
          <w:rFonts w:ascii="Arial" w:hAnsi="Arial" w:cs="Arial"/>
          <w:b/>
        </w:rPr>
        <w:t>The o</w:t>
      </w:r>
      <w:r w:rsidR="00244033" w:rsidRPr="005D535E">
        <w:rPr>
          <w:rFonts w:ascii="Arial" w:hAnsi="Arial" w:cs="Arial"/>
          <w:b/>
        </w:rPr>
        <w:t>bjectives</w:t>
      </w:r>
      <w:r>
        <w:rPr>
          <w:rFonts w:ascii="Arial" w:hAnsi="Arial" w:cs="Arial"/>
          <w:b/>
        </w:rPr>
        <w:t xml:space="preserve"> for this event include</w:t>
      </w:r>
      <w:r w:rsidR="00244033" w:rsidRPr="005D535E">
        <w:rPr>
          <w:rFonts w:ascii="Arial" w:hAnsi="Arial" w:cs="Arial"/>
          <w:b/>
        </w:rPr>
        <w:t>:</w:t>
      </w:r>
    </w:p>
    <w:p w:rsidR="003C75F9" w:rsidRDefault="003C75F9" w:rsidP="003C75F9">
      <w:pPr>
        <w:pStyle w:val="ListParagraph"/>
        <w:numPr>
          <w:ilvl w:val="0"/>
          <w:numId w:val="4"/>
        </w:numPr>
        <w:rPr>
          <w:rFonts w:ascii="Arial" w:hAnsi="Arial" w:cs="Arial"/>
        </w:rPr>
      </w:pPr>
      <w:r w:rsidRPr="003C75F9">
        <w:rPr>
          <w:rFonts w:ascii="Arial" w:hAnsi="Arial" w:cs="Arial"/>
        </w:rPr>
        <w:t xml:space="preserve">To provide a progress update </w:t>
      </w:r>
      <w:r>
        <w:rPr>
          <w:rFonts w:ascii="Arial" w:hAnsi="Arial" w:cs="Arial"/>
        </w:rPr>
        <w:t xml:space="preserve">regarding </w:t>
      </w:r>
      <w:r w:rsidRPr="003C75F9">
        <w:rPr>
          <w:rFonts w:ascii="Arial" w:hAnsi="Arial" w:cs="Arial"/>
        </w:rPr>
        <w:t xml:space="preserve"> the development of a benc</w:t>
      </w:r>
      <w:r>
        <w:rPr>
          <w:rFonts w:ascii="Arial" w:hAnsi="Arial" w:cs="Arial"/>
        </w:rPr>
        <w:t>h</w:t>
      </w:r>
      <w:r w:rsidRPr="003C75F9">
        <w:rPr>
          <w:rFonts w:ascii="Arial" w:hAnsi="Arial" w:cs="Arial"/>
        </w:rPr>
        <w:t>marking and action planning tool to assess public health content in undergraduate healthcare curricula in the NW</w:t>
      </w:r>
    </w:p>
    <w:p w:rsidR="003C75F9" w:rsidRDefault="0014230D" w:rsidP="003C75F9">
      <w:pPr>
        <w:pStyle w:val="ListParagraph"/>
        <w:numPr>
          <w:ilvl w:val="0"/>
          <w:numId w:val="4"/>
        </w:numPr>
        <w:rPr>
          <w:rFonts w:ascii="Arial" w:hAnsi="Arial" w:cs="Arial"/>
        </w:rPr>
      </w:pPr>
      <w:r>
        <w:rPr>
          <w:rFonts w:ascii="Arial" w:hAnsi="Arial" w:cs="Arial"/>
        </w:rPr>
        <w:t xml:space="preserve">To provide a forum for those supporting learners in practice </w:t>
      </w:r>
      <w:r w:rsidR="003C75F9">
        <w:rPr>
          <w:rFonts w:ascii="Arial" w:hAnsi="Arial" w:cs="Arial"/>
        </w:rPr>
        <w:t xml:space="preserve">to consider their role and contribution to preventive healthcare education and practice. </w:t>
      </w:r>
    </w:p>
    <w:p w:rsidR="003C75F9" w:rsidRDefault="003C75F9" w:rsidP="003C75F9">
      <w:pPr>
        <w:pStyle w:val="ListParagraph"/>
        <w:numPr>
          <w:ilvl w:val="0"/>
          <w:numId w:val="4"/>
        </w:numPr>
        <w:rPr>
          <w:rFonts w:ascii="Arial" w:hAnsi="Arial" w:cs="Arial"/>
        </w:rPr>
      </w:pPr>
      <w:r>
        <w:rPr>
          <w:rFonts w:ascii="Arial" w:hAnsi="Arial" w:cs="Arial"/>
        </w:rPr>
        <w:t xml:space="preserve">To develop an agreed action plan for ensuring that </w:t>
      </w:r>
      <w:r w:rsidR="005D535E">
        <w:rPr>
          <w:rFonts w:ascii="Arial" w:hAnsi="Arial" w:cs="Arial"/>
        </w:rPr>
        <w:t>learners</w:t>
      </w:r>
      <w:r>
        <w:rPr>
          <w:rFonts w:ascii="Arial" w:hAnsi="Arial" w:cs="Arial"/>
        </w:rPr>
        <w:t xml:space="preserve"> </w:t>
      </w:r>
      <w:r w:rsidR="005D535E">
        <w:rPr>
          <w:rFonts w:ascii="Arial" w:hAnsi="Arial" w:cs="Arial"/>
        </w:rPr>
        <w:t>are</w:t>
      </w:r>
      <w:r>
        <w:rPr>
          <w:rFonts w:ascii="Arial" w:hAnsi="Arial" w:cs="Arial"/>
        </w:rPr>
        <w:t xml:space="preserve"> fully supported </w:t>
      </w:r>
      <w:r w:rsidR="005D535E">
        <w:rPr>
          <w:rFonts w:ascii="Arial" w:hAnsi="Arial" w:cs="Arial"/>
        </w:rPr>
        <w:t>during clinical placements to apply public health learning</w:t>
      </w:r>
      <w:r w:rsidR="0014230D">
        <w:rPr>
          <w:rFonts w:ascii="Arial" w:hAnsi="Arial" w:cs="Arial"/>
        </w:rPr>
        <w:t>.</w:t>
      </w:r>
    </w:p>
    <w:p w:rsidR="005D535E" w:rsidRPr="003C75F9" w:rsidRDefault="005D535E" w:rsidP="003C75F9">
      <w:pPr>
        <w:pStyle w:val="ListParagraph"/>
        <w:numPr>
          <w:ilvl w:val="0"/>
          <w:numId w:val="4"/>
        </w:numPr>
        <w:rPr>
          <w:rFonts w:ascii="Arial" w:hAnsi="Arial" w:cs="Arial"/>
        </w:rPr>
      </w:pPr>
      <w:r>
        <w:rPr>
          <w:rFonts w:ascii="Arial" w:hAnsi="Arial" w:cs="Arial"/>
        </w:rPr>
        <w:t>To agree an approach that ensures we utilise all existing ways of working to facilitate successful integration of a common approach to public health learning</w:t>
      </w:r>
      <w:r w:rsidR="0014230D">
        <w:rPr>
          <w:rFonts w:ascii="Arial" w:hAnsi="Arial" w:cs="Arial"/>
        </w:rPr>
        <w:t xml:space="preserve"> including assessment of student learning in practice, and evaluating the quality of students’ public health placement experience.</w:t>
      </w:r>
      <w:r>
        <w:rPr>
          <w:rFonts w:ascii="Arial" w:hAnsi="Arial" w:cs="Arial"/>
        </w:rPr>
        <w:t xml:space="preserve"> </w:t>
      </w:r>
    </w:p>
    <w:p w:rsidR="00120EDF" w:rsidRDefault="00120EDF" w:rsidP="00304E8F">
      <w:pPr>
        <w:rPr>
          <w:rFonts w:ascii="Arial" w:hAnsi="Arial" w:cs="Arial"/>
        </w:rPr>
      </w:pPr>
      <w:r>
        <w:rPr>
          <w:rFonts w:ascii="Arial" w:hAnsi="Arial" w:cs="Arial"/>
          <w:noProof/>
          <w:lang w:eastAsia="en-GB"/>
        </w:rPr>
        <w:drawing>
          <wp:anchor distT="0" distB="0" distL="114300" distR="114300" simplePos="0" relativeHeight="251658240" behindDoc="1" locked="0" layoutInCell="1" allowOverlap="1" wp14:anchorId="4ED653D4" wp14:editId="0F5ADB36">
            <wp:simplePos x="0" y="0"/>
            <wp:positionH relativeFrom="column">
              <wp:posOffset>-66675</wp:posOffset>
            </wp:positionH>
            <wp:positionV relativeFrom="paragraph">
              <wp:posOffset>247650</wp:posOffset>
            </wp:positionV>
            <wp:extent cx="428625" cy="428625"/>
            <wp:effectExtent l="0" t="0" r="9525" b="9525"/>
            <wp:wrapTight wrapText="bothSides">
              <wp:wrapPolygon edited="0">
                <wp:start x="0" y="0"/>
                <wp:lineTo x="0" y="21120"/>
                <wp:lineTo x="21120" y="21120"/>
                <wp:lineTo x="21120" y="0"/>
                <wp:lineTo x="0" y="0"/>
              </wp:wrapPolygon>
            </wp:wrapTight>
            <wp:docPr id="3" name="Picture 3" descr="v:\Desktop\Miscellaneous\LOGOS\Tw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Desktop\Miscellaneous\LOGOS\Twitte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07D8" w:rsidRPr="00120EDF" w:rsidRDefault="00120EDF" w:rsidP="00304E8F">
      <w:pPr>
        <w:rPr>
          <w:rFonts w:ascii="Arial" w:hAnsi="Arial" w:cs="Arial"/>
          <w:b/>
        </w:rPr>
      </w:pPr>
      <w:r w:rsidRPr="00120EDF">
        <w:rPr>
          <w:rFonts w:ascii="Arial" w:hAnsi="Arial" w:cs="Arial"/>
          <w:b/>
          <w:sz w:val="24"/>
        </w:rPr>
        <w:t xml:space="preserve">Follow us </w:t>
      </w:r>
      <w:hyperlink r:id="rId10" w:history="1">
        <w:r w:rsidRPr="00120EDF">
          <w:rPr>
            <w:rStyle w:val="Hyperlink"/>
            <w:rFonts w:ascii="Arial" w:hAnsi="Arial" w:cs="Arial"/>
            <w:b/>
            <w:sz w:val="24"/>
          </w:rPr>
          <w:t>@nwphpn</w:t>
        </w:r>
      </w:hyperlink>
      <w:r w:rsidR="0028452A" w:rsidRPr="00120EDF">
        <w:rPr>
          <w:rFonts w:ascii="Arial" w:hAnsi="Arial" w:cs="Arial"/>
          <w:b/>
        </w:rPr>
        <w:br w:type="column"/>
      </w:r>
    </w:p>
    <w:p w:rsidR="0081498C" w:rsidRPr="0081498C" w:rsidRDefault="0081498C" w:rsidP="000F5087">
      <w:pPr>
        <w:spacing w:after="0" w:line="300" w:lineRule="exact"/>
        <w:ind w:left="-851" w:right="-897"/>
        <w:jc w:val="center"/>
        <w:rPr>
          <w:rFonts w:ascii="Arial" w:hAnsi="Arial" w:cs="Arial"/>
          <w:b/>
          <w:sz w:val="28"/>
        </w:rPr>
      </w:pPr>
      <w:r w:rsidRPr="00304E8F">
        <w:rPr>
          <w:rFonts w:ascii="Arial" w:hAnsi="Arial" w:cs="Arial"/>
          <w:b/>
          <w:sz w:val="32"/>
        </w:rPr>
        <w:t>PROGRAMME</w:t>
      </w:r>
    </w:p>
    <w:tbl>
      <w:tblPr>
        <w:tblStyle w:val="TableGrid"/>
        <w:tblW w:w="10774" w:type="dxa"/>
        <w:tblInd w:w="-743" w:type="dxa"/>
        <w:tblLook w:val="04A0" w:firstRow="1" w:lastRow="0" w:firstColumn="1" w:lastColumn="0" w:noHBand="0" w:noVBand="1"/>
      </w:tblPr>
      <w:tblGrid>
        <w:gridCol w:w="1985"/>
        <w:gridCol w:w="8789"/>
      </w:tblGrid>
      <w:tr w:rsidR="00EE2E57" w:rsidRPr="0028452A" w:rsidTr="001807D8">
        <w:tc>
          <w:tcPr>
            <w:tcW w:w="1985" w:type="dxa"/>
          </w:tcPr>
          <w:p w:rsidR="00EE2E57" w:rsidRPr="0028452A" w:rsidRDefault="001807D8" w:rsidP="00355608">
            <w:pPr>
              <w:rPr>
                <w:rFonts w:ascii="Arial" w:hAnsi="Arial" w:cs="Arial"/>
              </w:rPr>
            </w:pPr>
            <w:r>
              <w:rPr>
                <w:rFonts w:ascii="Arial" w:hAnsi="Arial" w:cs="Arial"/>
              </w:rPr>
              <w:t>09:</w:t>
            </w:r>
            <w:r w:rsidR="00523FF6">
              <w:rPr>
                <w:rFonts w:ascii="Arial" w:hAnsi="Arial" w:cs="Arial"/>
              </w:rPr>
              <w:t>30</w:t>
            </w:r>
            <w:r>
              <w:rPr>
                <w:rFonts w:ascii="Arial" w:hAnsi="Arial" w:cs="Arial"/>
              </w:rPr>
              <w:t xml:space="preserve"> – </w:t>
            </w:r>
            <w:r w:rsidR="00523FF6">
              <w:rPr>
                <w:rFonts w:ascii="Arial" w:hAnsi="Arial" w:cs="Arial"/>
              </w:rPr>
              <w:t>10.00</w:t>
            </w:r>
          </w:p>
        </w:tc>
        <w:tc>
          <w:tcPr>
            <w:tcW w:w="8789" w:type="dxa"/>
          </w:tcPr>
          <w:p w:rsidR="00EE2E57" w:rsidRDefault="00EE2E57" w:rsidP="0028452A">
            <w:pPr>
              <w:rPr>
                <w:rFonts w:ascii="Arial" w:hAnsi="Arial" w:cs="Arial"/>
              </w:rPr>
            </w:pPr>
            <w:r w:rsidRPr="0028452A">
              <w:rPr>
                <w:rFonts w:ascii="Arial" w:hAnsi="Arial" w:cs="Arial"/>
                <w:b/>
              </w:rPr>
              <w:t>Registration</w:t>
            </w:r>
            <w:r w:rsidR="0068172E" w:rsidRPr="0081498C">
              <w:rPr>
                <w:rFonts w:ascii="Arial" w:hAnsi="Arial" w:cs="Arial"/>
                <w:b/>
              </w:rPr>
              <w:t xml:space="preserve">: </w:t>
            </w:r>
            <w:r w:rsidR="0081498C">
              <w:rPr>
                <w:rFonts w:ascii="Arial" w:hAnsi="Arial" w:cs="Arial"/>
              </w:rPr>
              <w:t>Refreshments &amp; Networking</w:t>
            </w:r>
            <w:r w:rsidRPr="0028452A">
              <w:rPr>
                <w:rFonts w:ascii="Arial" w:hAnsi="Arial" w:cs="Arial"/>
              </w:rPr>
              <w:t xml:space="preserve"> </w:t>
            </w:r>
          </w:p>
          <w:p w:rsidR="00B76460" w:rsidRPr="0028452A" w:rsidRDefault="00B76460" w:rsidP="0028452A">
            <w:pPr>
              <w:rPr>
                <w:rFonts w:ascii="Arial" w:hAnsi="Arial" w:cs="Arial"/>
              </w:rPr>
            </w:pPr>
          </w:p>
        </w:tc>
      </w:tr>
      <w:tr w:rsidR="00EE2E57" w:rsidRPr="0028452A" w:rsidTr="001807D8">
        <w:tc>
          <w:tcPr>
            <w:tcW w:w="1985" w:type="dxa"/>
          </w:tcPr>
          <w:p w:rsidR="00EE2E57" w:rsidRPr="0028452A" w:rsidRDefault="00523FF6" w:rsidP="00355608">
            <w:pPr>
              <w:rPr>
                <w:rFonts w:ascii="Arial" w:hAnsi="Arial" w:cs="Arial"/>
              </w:rPr>
            </w:pPr>
            <w:r>
              <w:rPr>
                <w:rFonts w:ascii="Arial" w:hAnsi="Arial" w:cs="Arial"/>
              </w:rPr>
              <w:t>10.00</w:t>
            </w:r>
            <w:r w:rsidR="00EE2E57" w:rsidRPr="0028452A">
              <w:rPr>
                <w:rFonts w:ascii="Arial" w:hAnsi="Arial" w:cs="Arial"/>
              </w:rPr>
              <w:t xml:space="preserve"> –</w:t>
            </w:r>
            <w:r w:rsidR="0068172E" w:rsidRPr="0028452A">
              <w:rPr>
                <w:rFonts w:ascii="Arial" w:hAnsi="Arial" w:cs="Arial"/>
              </w:rPr>
              <w:t xml:space="preserve"> </w:t>
            </w:r>
            <w:r>
              <w:rPr>
                <w:rFonts w:ascii="Arial" w:hAnsi="Arial" w:cs="Arial"/>
              </w:rPr>
              <w:t>10.20</w:t>
            </w:r>
          </w:p>
        </w:tc>
        <w:tc>
          <w:tcPr>
            <w:tcW w:w="8789" w:type="dxa"/>
          </w:tcPr>
          <w:p w:rsidR="00EE2E57" w:rsidRPr="0028452A" w:rsidRDefault="0081498C" w:rsidP="0028452A">
            <w:pPr>
              <w:rPr>
                <w:rFonts w:ascii="Arial" w:hAnsi="Arial" w:cs="Arial"/>
              </w:rPr>
            </w:pPr>
            <w:r>
              <w:rPr>
                <w:rFonts w:ascii="Arial" w:hAnsi="Arial" w:cs="Arial"/>
                <w:b/>
              </w:rPr>
              <w:t>Introduction &amp; W</w:t>
            </w:r>
            <w:r w:rsidR="00EE2E57" w:rsidRPr="0028452A">
              <w:rPr>
                <w:rFonts w:ascii="Arial" w:hAnsi="Arial" w:cs="Arial"/>
                <w:b/>
              </w:rPr>
              <w:t>elcome</w:t>
            </w:r>
            <w:r w:rsidR="00EE2E57" w:rsidRPr="0028452A">
              <w:rPr>
                <w:rFonts w:ascii="Arial" w:hAnsi="Arial" w:cs="Arial"/>
              </w:rPr>
              <w:t xml:space="preserve"> </w:t>
            </w:r>
          </w:p>
          <w:p w:rsidR="0068172E" w:rsidRDefault="00653E4F" w:rsidP="0028452A">
            <w:pPr>
              <w:rPr>
                <w:rFonts w:ascii="Arial" w:hAnsi="Arial" w:cs="Arial"/>
              </w:rPr>
            </w:pPr>
            <w:r>
              <w:rPr>
                <w:rFonts w:ascii="Arial" w:hAnsi="Arial" w:cs="Arial"/>
              </w:rPr>
              <w:t>Mike Farrell, Head of Workforce Transformation and Commissioning, HEE NW</w:t>
            </w:r>
          </w:p>
          <w:p w:rsidR="00B76460" w:rsidRPr="0028452A" w:rsidRDefault="00B76460" w:rsidP="0028452A">
            <w:pPr>
              <w:rPr>
                <w:rFonts w:ascii="Arial" w:hAnsi="Arial" w:cs="Arial"/>
              </w:rPr>
            </w:pPr>
          </w:p>
        </w:tc>
      </w:tr>
      <w:tr w:rsidR="00503298" w:rsidRPr="0028452A" w:rsidTr="001807D8">
        <w:tc>
          <w:tcPr>
            <w:tcW w:w="1985" w:type="dxa"/>
          </w:tcPr>
          <w:p w:rsidR="00503298" w:rsidRPr="0028452A" w:rsidRDefault="00523FF6" w:rsidP="00355608">
            <w:pPr>
              <w:rPr>
                <w:rFonts w:ascii="Arial" w:hAnsi="Arial" w:cs="Arial"/>
              </w:rPr>
            </w:pPr>
            <w:r>
              <w:rPr>
                <w:rFonts w:ascii="Arial" w:hAnsi="Arial" w:cs="Arial"/>
              </w:rPr>
              <w:t>10.20</w:t>
            </w:r>
            <w:r w:rsidR="00E97486">
              <w:rPr>
                <w:rFonts w:ascii="Arial" w:hAnsi="Arial" w:cs="Arial"/>
              </w:rPr>
              <w:t xml:space="preserve"> </w:t>
            </w:r>
            <w:r w:rsidR="00503298">
              <w:rPr>
                <w:rFonts w:ascii="Arial" w:hAnsi="Arial" w:cs="Arial"/>
              </w:rPr>
              <w:t xml:space="preserve">– </w:t>
            </w:r>
            <w:r w:rsidR="007E5D2C">
              <w:rPr>
                <w:rFonts w:ascii="Arial" w:hAnsi="Arial" w:cs="Arial"/>
              </w:rPr>
              <w:t>10.</w:t>
            </w:r>
            <w:r>
              <w:rPr>
                <w:rFonts w:ascii="Arial" w:hAnsi="Arial" w:cs="Arial"/>
              </w:rPr>
              <w:t>40</w:t>
            </w:r>
            <w:r w:rsidR="007E5D2C">
              <w:rPr>
                <w:rFonts w:ascii="Arial" w:hAnsi="Arial" w:cs="Arial"/>
              </w:rPr>
              <w:t xml:space="preserve"> </w:t>
            </w:r>
          </w:p>
        </w:tc>
        <w:tc>
          <w:tcPr>
            <w:tcW w:w="8789" w:type="dxa"/>
          </w:tcPr>
          <w:p w:rsidR="00503298" w:rsidRDefault="007E5D2C" w:rsidP="0028452A">
            <w:pPr>
              <w:rPr>
                <w:rFonts w:ascii="Arial" w:hAnsi="Arial" w:cs="Arial"/>
                <w:b/>
              </w:rPr>
            </w:pPr>
            <w:r>
              <w:rPr>
                <w:rFonts w:ascii="Arial" w:hAnsi="Arial" w:cs="Arial"/>
                <w:b/>
              </w:rPr>
              <w:t xml:space="preserve">Taking a quality assurance approach to preventive healthcare education </w:t>
            </w:r>
            <w:r w:rsidR="00503298" w:rsidRPr="00503298">
              <w:rPr>
                <w:rFonts w:ascii="Arial" w:hAnsi="Arial" w:cs="Arial"/>
                <w:b/>
              </w:rPr>
              <w:t xml:space="preserve">  </w:t>
            </w:r>
          </w:p>
          <w:p w:rsidR="00503298" w:rsidRPr="00503298" w:rsidRDefault="007E5D2C" w:rsidP="0028452A">
            <w:pPr>
              <w:rPr>
                <w:rFonts w:ascii="Arial" w:hAnsi="Arial" w:cs="Arial"/>
              </w:rPr>
            </w:pPr>
            <w:r>
              <w:rPr>
                <w:rFonts w:ascii="Arial" w:hAnsi="Arial" w:cs="Arial"/>
              </w:rPr>
              <w:t xml:space="preserve">Alison Farrar Public Health Workforce Lead, Health Education England North West </w:t>
            </w:r>
          </w:p>
          <w:p w:rsidR="00503298" w:rsidRPr="00503298" w:rsidRDefault="00503298" w:rsidP="0028452A">
            <w:pPr>
              <w:rPr>
                <w:rFonts w:ascii="Arial" w:hAnsi="Arial" w:cs="Arial"/>
                <w:b/>
              </w:rPr>
            </w:pPr>
          </w:p>
        </w:tc>
      </w:tr>
      <w:tr w:rsidR="00523FF6" w:rsidRPr="0028452A" w:rsidTr="001807D8">
        <w:tc>
          <w:tcPr>
            <w:tcW w:w="1985" w:type="dxa"/>
          </w:tcPr>
          <w:p w:rsidR="00523FF6" w:rsidRDefault="00523FF6" w:rsidP="00355608">
            <w:pPr>
              <w:rPr>
                <w:rFonts w:ascii="Arial" w:hAnsi="Arial" w:cs="Arial"/>
              </w:rPr>
            </w:pPr>
          </w:p>
          <w:p w:rsidR="00523FF6" w:rsidRDefault="00523FF6" w:rsidP="00355608">
            <w:pPr>
              <w:rPr>
                <w:rFonts w:ascii="Arial" w:hAnsi="Arial" w:cs="Arial"/>
              </w:rPr>
            </w:pPr>
            <w:r>
              <w:rPr>
                <w:rFonts w:ascii="Arial" w:hAnsi="Arial" w:cs="Arial"/>
              </w:rPr>
              <w:t>10.40 – 10.55</w:t>
            </w:r>
          </w:p>
          <w:p w:rsidR="00523FF6" w:rsidRDefault="00523FF6" w:rsidP="00355608">
            <w:pPr>
              <w:rPr>
                <w:rFonts w:ascii="Arial" w:hAnsi="Arial" w:cs="Arial"/>
              </w:rPr>
            </w:pPr>
          </w:p>
        </w:tc>
        <w:tc>
          <w:tcPr>
            <w:tcW w:w="8789" w:type="dxa"/>
          </w:tcPr>
          <w:p w:rsidR="00523FF6" w:rsidRDefault="00523FF6" w:rsidP="0028452A">
            <w:pPr>
              <w:rPr>
                <w:rFonts w:ascii="Arial" w:hAnsi="Arial" w:cs="Arial"/>
                <w:b/>
              </w:rPr>
            </w:pPr>
            <w:r>
              <w:rPr>
                <w:rFonts w:ascii="Arial" w:hAnsi="Arial" w:cs="Arial"/>
                <w:b/>
              </w:rPr>
              <w:t>Case Study:</w:t>
            </w:r>
          </w:p>
          <w:p w:rsidR="00523FF6" w:rsidRDefault="00523FF6" w:rsidP="0028452A">
            <w:pPr>
              <w:rPr>
                <w:rFonts w:ascii="Arial" w:hAnsi="Arial" w:cs="Arial"/>
                <w:b/>
              </w:rPr>
            </w:pPr>
            <w:r>
              <w:rPr>
                <w:rFonts w:ascii="Arial" w:hAnsi="Arial" w:cs="Arial"/>
                <w:b/>
              </w:rPr>
              <w:t xml:space="preserve">MMU experience of benchmarking curricula for public health content – taking an organisational approach </w:t>
            </w:r>
          </w:p>
          <w:p w:rsidR="00523FF6" w:rsidRPr="00523FF6" w:rsidRDefault="00B53255" w:rsidP="00B53255">
            <w:pPr>
              <w:rPr>
                <w:rFonts w:ascii="Arial" w:hAnsi="Arial" w:cs="Arial"/>
              </w:rPr>
            </w:pPr>
            <w:r>
              <w:rPr>
                <w:rFonts w:ascii="Arial" w:hAnsi="Arial" w:cs="Arial"/>
              </w:rPr>
              <w:t xml:space="preserve">Dr </w:t>
            </w:r>
            <w:r w:rsidR="00523FF6" w:rsidRPr="00523FF6">
              <w:rPr>
                <w:rFonts w:ascii="Arial" w:hAnsi="Arial" w:cs="Arial"/>
              </w:rPr>
              <w:t>Maxine Holt</w:t>
            </w:r>
            <w:r w:rsidR="00684884">
              <w:rPr>
                <w:rFonts w:ascii="Arial" w:hAnsi="Arial" w:cs="Arial"/>
              </w:rPr>
              <w:t xml:space="preserve">, </w:t>
            </w:r>
            <w:r w:rsidRPr="00B53255">
              <w:rPr>
                <w:rFonts w:ascii="Arial" w:hAnsi="Arial" w:cs="Arial"/>
              </w:rPr>
              <w:t xml:space="preserve">Principal Lecturer In Public Health/MMU Healthy Universities Co-ordinator </w:t>
            </w:r>
            <w:bookmarkStart w:id="0" w:name="_GoBack"/>
            <w:bookmarkEnd w:id="0"/>
            <w:r w:rsidR="00523FF6" w:rsidRPr="00523FF6">
              <w:rPr>
                <w:rFonts w:ascii="Arial" w:hAnsi="Arial" w:cs="Arial"/>
              </w:rPr>
              <w:t xml:space="preserve"> </w:t>
            </w:r>
          </w:p>
        </w:tc>
      </w:tr>
      <w:tr w:rsidR="00EE2E57" w:rsidRPr="0028452A" w:rsidTr="001807D8">
        <w:tc>
          <w:tcPr>
            <w:tcW w:w="1985" w:type="dxa"/>
          </w:tcPr>
          <w:p w:rsidR="00EE2E57" w:rsidRDefault="007E5D2C" w:rsidP="00355608">
            <w:pPr>
              <w:rPr>
                <w:rFonts w:ascii="Arial" w:hAnsi="Arial" w:cs="Arial"/>
              </w:rPr>
            </w:pPr>
            <w:r>
              <w:rPr>
                <w:rFonts w:ascii="Arial" w:hAnsi="Arial" w:cs="Arial"/>
              </w:rPr>
              <w:t>10.</w:t>
            </w:r>
            <w:r w:rsidR="00523FF6">
              <w:rPr>
                <w:rFonts w:ascii="Arial" w:hAnsi="Arial" w:cs="Arial"/>
              </w:rPr>
              <w:t xml:space="preserve">55 – 11.10 </w:t>
            </w:r>
            <w:r>
              <w:rPr>
                <w:rFonts w:ascii="Arial" w:hAnsi="Arial" w:cs="Arial"/>
              </w:rPr>
              <w:t xml:space="preserve"> </w:t>
            </w:r>
          </w:p>
          <w:p w:rsidR="00695A72" w:rsidRDefault="00695A72" w:rsidP="00355608">
            <w:pPr>
              <w:rPr>
                <w:rFonts w:ascii="Arial" w:hAnsi="Arial" w:cs="Arial"/>
              </w:rPr>
            </w:pPr>
          </w:p>
          <w:p w:rsidR="00695A72" w:rsidRPr="0028452A" w:rsidRDefault="00695A72" w:rsidP="00355608">
            <w:pPr>
              <w:rPr>
                <w:rFonts w:ascii="Arial" w:hAnsi="Arial" w:cs="Arial"/>
              </w:rPr>
            </w:pPr>
          </w:p>
        </w:tc>
        <w:tc>
          <w:tcPr>
            <w:tcW w:w="8789" w:type="dxa"/>
          </w:tcPr>
          <w:p w:rsidR="00B76460" w:rsidRDefault="007E5D2C" w:rsidP="00B13E26">
            <w:pPr>
              <w:rPr>
                <w:rFonts w:ascii="Arial" w:hAnsi="Arial" w:cs="Arial"/>
                <w:b/>
              </w:rPr>
            </w:pPr>
            <w:r>
              <w:rPr>
                <w:rFonts w:ascii="Arial" w:hAnsi="Arial" w:cs="Arial"/>
                <w:b/>
              </w:rPr>
              <w:t xml:space="preserve">Case Study: </w:t>
            </w:r>
          </w:p>
          <w:p w:rsidR="007E5D2C" w:rsidRDefault="007E5D2C" w:rsidP="00B13E26">
            <w:pPr>
              <w:rPr>
                <w:rFonts w:ascii="Arial" w:hAnsi="Arial" w:cs="Arial"/>
                <w:b/>
              </w:rPr>
            </w:pPr>
            <w:r>
              <w:rPr>
                <w:rFonts w:ascii="Arial" w:hAnsi="Arial" w:cs="Arial"/>
                <w:b/>
              </w:rPr>
              <w:t xml:space="preserve">UCLAN experience of benchmarking curricula for public health content – a useful exercise? </w:t>
            </w:r>
          </w:p>
          <w:p w:rsidR="007E5D2C" w:rsidRPr="007E5D2C" w:rsidRDefault="00653E4F" w:rsidP="00B13E26">
            <w:pPr>
              <w:rPr>
                <w:rFonts w:ascii="Arial" w:hAnsi="Arial" w:cs="Arial"/>
              </w:rPr>
            </w:pPr>
            <w:r>
              <w:rPr>
                <w:rFonts w:ascii="Arial" w:hAnsi="Arial" w:cs="Arial"/>
              </w:rPr>
              <w:t>Dilyse Nuttall</w:t>
            </w:r>
            <w:r w:rsidR="00684884">
              <w:rPr>
                <w:rFonts w:ascii="Arial" w:hAnsi="Arial" w:cs="Arial"/>
              </w:rPr>
              <w:t>, University of Central Lancashire</w:t>
            </w:r>
          </w:p>
          <w:p w:rsidR="00A11B2B" w:rsidRPr="0028452A" w:rsidRDefault="00A11B2B" w:rsidP="00B13E26">
            <w:pPr>
              <w:rPr>
                <w:rFonts w:ascii="Arial" w:hAnsi="Arial" w:cs="Arial"/>
              </w:rPr>
            </w:pPr>
          </w:p>
        </w:tc>
      </w:tr>
      <w:tr w:rsidR="0032472A" w:rsidRPr="0028452A" w:rsidTr="001807D8">
        <w:tc>
          <w:tcPr>
            <w:tcW w:w="1985" w:type="dxa"/>
          </w:tcPr>
          <w:p w:rsidR="0032472A" w:rsidRDefault="0032472A" w:rsidP="00355608">
            <w:pPr>
              <w:rPr>
                <w:rFonts w:ascii="Arial" w:hAnsi="Arial" w:cs="Arial"/>
              </w:rPr>
            </w:pPr>
            <w:r>
              <w:rPr>
                <w:rFonts w:ascii="Arial" w:hAnsi="Arial" w:cs="Arial"/>
              </w:rPr>
              <w:t xml:space="preserve">11.10 – 11.30 </w:t>
            </w:r>
          </w:p>
        </w:tc>
        <w:tc>
          <w:tcPr>
            <w:tcW w:w="8789" w:type="dxa"/>
          </w:tcPr>
          <w:p w:rsidR="0032472A" w:rsidRDefault="0032472A" w:rsidP="00B13E26">
            <w:pPr>
              <w:rPr>
                <w:rFonts w:ascii="Arial" w:hAnsi="Arial" w:cs="Arial"/>
                <w:b/>
              </w:rPr>
            </w:pPr>
            <w:r>
              <w:rPr>
                <w:rFonts w:ascii="Arial" w:hAnsi="Arial" w:cs="Arial"/>
                <w:b/>
              </w:rPr>
              <w:t xml:space="preserve">Refreshment break </w:t>
            </w:r>
          </w:p>
          <w:p w:rsidR="0032472A" w:rsidRDefault="0032472A" w:rsidP="00B13E26">
            <w:pPr>
              <w:rPr>
                <w:rFonts w:ascii="Arial" w:hAnsi="Arial" w:cs="Arial"/>
                <w:b/>
              </w:rPr>
            </w:pPr>
          </w:p>
        </w:tc>
      </w:tr>
      <w:tr w:rsidR="000F5087" w:rsidRPr="0028452A" w:rsidTr="001807D8">
        <w:tc>
          <w:tcPr>
            <w:tcW w:w="1985" w:type="dxa"/>
          </w:tcPr>
          <w:p w:rsidR="000F5087" w:rsidRDefault="000F5087" w:rsidP="00355608">
            <w:pPr>
              <w:rPr>
                <w:rFonts w:ascii="Arial" w:hAnsi="Arial" w:cs="Arial"/>
              </w:rPr>
            </w:pPr>
          </w:p>
        </w:tc>
        <w:tc>
          <w:tcPr>
            <w:tcW w:w="8789" w:type="dxa"/>
          </w:tcPr>
          <w:p w:rsidR="000F5087" w:rsidRPr="000F5087" w:rsidRDefault="000F5087" w:rsidP="000F5087">
            <w:pPr>
              <w:rPr>
                <w:rFonts w:ascii="Arial" w:hAnsi="Arial" w:cs="Arial"/>
                <w:b/>
              </w:rPr>
            </w:pPr>
            <w:r w:rsidRPr="000F5087">
              <w:rPr>
                <w:rFonts w:ascii="Arial" w:hAnsi="Arial" w:cs="Arial"/>
                <w:b/>
              </w:rPr>
              <w:t>Developing placement opportunities for public health learning and assessment in practice</w:t>
            </w:r>
          </w:p>
          <w:p w:rsidR="000F5087" w:rsidRDefault="00653E4F" w:rsidP="000F5087">
            <w:pPr>
              <w:rPr>
                <w:rFonts w:ascii="Arial" w:hAnsi="Arial" w:cs="Arial"/>
                <w:b/>
              </w:rPr>
            </w:pPr>
            <w:r>
              <w:rPr>
                <w:rFonts w:ascii="Arial" w:hAnsi="Arial" w:cs="Arial"/>
              </w:rPr>
              <w:t>Lisa Littlewood , Placement Development Lead, NW Placement Development Network</w:t>
            </w:r>
          </w:p>
        </w:tc>
      </w:tr>
      <w:tr w:rsidR="00EE2E57" w:rsidRPr="0028452A" w:rsidTr="001807D8">
        <w:tc>
          <w:tcPr>
            <w:tcW w:w="1985" w:type="dxa"/>
          </w:tcPr>
          <w:p w:rsidR="00EE2E57" w:rsidRPr="0028452A" w:rsidRDefault="00523FF6" w:rsidP="00355608">
            <w:pPr>
              <w:rPr>
                <w:rFonts w:ascii="Arial" w:hAnsi="Arial" w:cs="Arial"/>
              </w:rPr>
            </w:pPr>
            <w:r>
              <w:rPr>
                <w:rFonts w:ascii="Arial" w:hAnsi="Arial" w:cs="Arial"/>
              </w:rPr>
              <w:t>11.</w:t>
            </w:r>
            <w:r w:rsidR="0032472A">
              <w:rPr>
                <w:rFonts w:ascii="Arial" w:hAnsi="Arial" w:cs="Arial"/>
              </w:rPr>
              <w:t>30</w:t>
            </w:r>
            <w:r>
              <w:rPr>
                <w:rFonts w:ascii="Arial" w:hAnsi="Arial" w:cs="Arial"/>
              </w:rPr>
              <w:t xml:space="preserve"> </w:t>
            </w:r>
            <w:r w:rsidR="001807D8">
              <w:rPr>
                <w:rFonts w:ascii="Arial" w:hAnsi="Arial" w:cs="Arial"/>
              </w:rPr>
              <w:t xml:space="preserve"> </w:t>
            </w:r>
            <w:r w:rsidR="00EE2E57" w:rsidRPr="0028452A">
              <w:rPr>
                <w:rFonts w:ascii="Arial" w:hAnsi="Arial" w:cs="Arial"/>
              </w:rPr>
              <w:t xml:space="preserve">– </w:t>
            </w:r>
            <w:r w:rsidR="0032472A">
              <w:rPr>
                <w:rFonts w:ascii="Arial" w:hAnsi="Arial" w:cs="Arial"/>
              </w:rPr>
              <w:t xml:space="preserve">12.00 </w:t>
            </w:r>
            <w:r>
              <w:rPr>
                <w:rFonts w:ascii="Arial" w:hAnsi="Arial" w:cs="Arial"/>
              </w:rPr>
              <w:t xml:space="preserve"> </w:t>
            </w:r>
          </w:p>
        </w:tc>
        <w:tc>
          <w:tcPr>
            <w:tcW w:w="8789" w:type="dxa"/>
          </w:tcPr>
          <w:p w:rsidR="00F12885" w:rsidRPr="000F5087" w:rsidRDefault="00523FF6" w:rsidP="000F5087">
            <w:pPr>
              <w:rPr>
                <w:rFonts w:ascii="Arial" w:hAnsi="Arial" w:cs="Arial"/>
              </w:rPr>
            </w:pPr>
            <w:r w:rsidRPr="000F5087">
              <w:rPr>
                <w:rFonts w:ascii="Arial" w:hAnsi="Arial" w:cs="Arial"/>
                <w:b/>
              </w:rPr>
              <w:t>Making a Difference- Student Public Health Conference’; enabling learners to learn about public health and preventative healthcare services in Stockport</w:t>
            </w:r>
            <w:r w:rsidRPr="000F5087">
              <w:rPr>
                <w:rFonts w:ascii="Arial" w:hAnsi="Arial" w:cs="Arial"/>
              </w:rPr>
              <w:t xml:space="preserve"> </w:t>
            </w:r>
            <w:r w:rsidR="00C43C31" w:rsidRPr="000F5087">
              <w:rPr>
                <w:rFonts w:ascii="Arial" w:hAnsi="Arial" w:cs="Arial"/>
              </w:rPr>
              <w:t>‘.</w:t>
            </w:r>
            <w:r w:rsidRPr="000F5087">
              <w:rPr>
                <w:rFonts w:ascii="Arial" w:hAnsi="Arial" w:cs="Arial"/>
              </w:rPr>
              <w:t xml:space="preserve"> </w:t>
            </w:r>
          </w:p>
          <w:p w:rsidR="00523FF6" w:rsidRPr="000F5087" w:rsidRDefault="00523FF6" w:rsidP="000F5087">
            <w:pPr>
              <w:rPr>
                <w:rFonts w:ascii="Arial" w:hAnsi="Arial" w:cs="Arial"/>
              </w:rPr>
            </w:pPr>
            <w:r w:rsidRPr="000F5087">
              <w:rPr>
                <w:rFonts w:ascii="Arial" w:hAnsi="Arial" w:cs="Arial"/>
              </w:rPr>
              <w:t>Sarah Booth</w:t>
            </w:r>
            <w:r w:rsidR="00653E4F">
              <w:rPr>
                <w:rFonts w:ascii="Arial" w:hAnsi="Arial" w:cs="Arial"/>
              </w:rPr>
              <w:t>, Practice Education Facilitator, Stockport NHS Foundation Trust</w:t>
            </w:r>
            <w:r w:rsidRPr="000F5087">
              <w:rPr>
                <w:rFonts w:ascii="Arial" w:hAnsi="Arial" w:cs="Arial"/>
              </w:rPr>
              <w:t xml:space="preserve"> </w:t>
            </w:r>
          </w:p>
          <w:p w:rsidR="00C43C31" w:rsidRPr="0028452A" w:rsidRDefault="00C43C31" w:rsidP="00C43C31">
            <w:pPr>
              <w:pStyle w:val="ListParagraph"/>
              <w:rPr>
                <w:rFonts w:ascii="Arial" w:hAnsi="Arial" w:cs="Arial"/>
              </w:rPr>
            </w:pPr>
          </w:p>
        </w:tc>
      </w:tr>
      <w:tr w:rsidR="00E81A14" w:rsidRPr="0028452A" w:rsidTr="001807D8">
        <w:tc>
          <w:tcPr>
            <w:tcW w:w="1985" w:type="dxa"/>
          </w:tcPr>
          <w:p w:rsidR="00E81A14" w:rsidRPr="0028452A" w:rsidRDefault="0032472A" w:rsidP="00355608">
            <w:pPr>
              <w:rPr>
                <w:rFonts w:ascii="Arial" w:hAnsi="Arial" w:cs="Arial"/>
              </w:rPr>
            </w:pPr>
            <w:r>
              <w:rPr>
                <w:rFonts w:ascii="Arial" w:hAnsi="Arial" w:cs="Arial"/>
              </w:rPr>
              <w:t>12.00 – 12.</w:t>
            </w:r>
            <w:r w:rsidR="00FA318C">
              <w:rPr>
                <w:rFonts w:ascii="Arial" w:hAnsi="Arial" w:cs="Arial"/>
              </w:rPr>
              <w:t>15</w:t>
            </w:r>
            <w:r>
              <w:rPr>
                <w:rFonts w:ascii="Arial" w:hAnsi="Arial" w:cs="Arial"/>
              </w:rPr>
              <w:t xml:space="preserve"> </w:t>
            </w:r>
            <w:r w:rsidR="00523FF6">
              <w:rPr>
                <w:rFonts w:ascii="Arial" w:hAnsi="Arial" w:cs="Arial"/>
              </w:rPr>
              <w:t xml:space="preserve"> </w:t>
            </w:r>
          </w:p>
        </w:tc>
        <w:tc>
          <w:tcPr>
            <w:tcW w:w="8789" w:type="dxa"/>
          </w:tcPr>
          <w:p w:rsidR="00E81A14" w:rsidRPr="0028452A" w:rsidRDefault="00E81A14" w:rsidP="00B7672D">
            <w:pPr>
              <w:rPr>
                <w:rFonts w:ascii="Arial" w:hAnsi="Arial" w:cs="Arial"/>
              </w:rPr>
            </w:pPr>
            <w:r>
              <w:rPr>
                <w:rFonts w:ascii="Arial" w:hAnsi="Arial" w:cs="Arial"/>
                <w:b/>
              </w:rPr>
              <w:t xml:space="preserve">Next Steps for implementation </w:t>
            </w:r>
            <w:r w:rsidR="00243AC2">
              <w:rPr>
                <w:rFonts w:ascii="Arial" w:hAnsi="Arial" w:cs="Arial"/>
                <w:b/>
              </w:rPr>
              <w:t>– Workshop Introduction</w:t>
            </w:r>
          </w:p>
          <w:p w:rsidR="00E81A14" w:rsidRDefault="00615598" w:rsidP="00B7672D">
            <w:pPr>
              <w:rPr>
                <w:rFonts w:ascii="Arial" w:hAnsi="Arial" w:cs="Arial"/>
              </w:rPr>
            </w:pPr>
            <w:r>
              <w:rPr>
                <w:rFonts w:ascii="Arial" w:hAnsi="Arial" w:cs="Arial"/>
              </w:rPr>
              <w:t>Vicky MacMillan, Quality Manager, H</w:t>
            </w:r>
            <w:r w:rsidR="00010ECD">
              <w:rPr>
                <w:rFonts w:ascii="Arial" w:hAnsi="Arial" w:cs="Arial"/>
              </w:rPr>
              <w:t>EE NW</w:t>
            </w:r>
          </w:p>
          <w:p w:rsidR="00E81A14" w:rsidRPr="0028452A" w:rsidRDefault="00E81A14" w:rsidP="00B7672D">
            <w:pPr>
              <w:rPr>
                <w:rFonts w:ascii="Arial" w:hAnsi="Arial" w:cs="Arial"/>
              </w:rPr>
            </w:pPr>
          </w:p>
        </w:tc>
      </w:tr>
      <w:tr w:rsidR="00E81A14" w:rsidRPr="0028452A" w:rsidTr="001807D8">
        <w:tc>
          <w:tcPr>
            <w:tcW w:w="1985" w:type="dxa"/>
          </w:tcPr>
          <w:p w:rsidR="00E81A14" w:rsidRPr="0028452A" w:rsidRDefault="00FA318C" w:rsidP="00355608">
            <w:pPr>
              <w:rPr>
                <w:rFonts w:ascii="Arial" w:hAnsi="Arial" w:cs="Arial"/>
              </w:rPr>
            </w:pPr>
            <w:r>
              <w:rPr>
                <w:rFonts w:ascii="Arial" w:hAnsi="Arial" w:cs="Arial"/>
              </w:rPr>
              <w:t>12.15</w:t>
            </w:r>
            <w:r w:rsidR="0032472A">
              <w:rPr>
                <w:rFonts w:ascii="Arial" w:hAnsi="Arial" w:cs="Arial"/>
              </w:rPr>
              <w:t xml:space="preserve"> – 12.50  </w:t>
            </w:r>
          </w:p>
        </w:tc>
        <w:tc>
          <w:tcPr>
            <w:tcW w:w="8789" w:type="dxa"/>
          </w:tcPr>
          <w:p w:rsidR="00E81A14" w:rsidRDefault="000F5087" w:rsidP="0028452A">
            <w:pPr>
              <w:rPr>
                <w:rFonts w:ascii="Arial" w:hAnsi="Arial" w:cs="Arial"/>
                <w:b/>
              </w:rPr>
            </w:pPr>
            <w:r>
              <w:rPr>
                <w:rFonts w:ascii="Arial" w:hAnsi="Arial" w:cs="Arial"/>
                <w:b/>
              </w:rPr>
              <w:t xml:space="preserve">Workshop One </w:t>
            </w:r>
            <w:r w:rsidR="00E81A14">
              <w:rPr>
                <w:rFonts w:ascii="Arial" w:hAnsi="Arial" w:cs="Arial"/>
              </w:rPr>
              <w:t xml:space="preserve"> </w:t>
            </w:r>
            <w:r w:rsidR="00E81A14" w:rsidRPr="001A2C45">
              <w:rPr>
                <w:rFonts w:ascii="Arial" w:hAnsi="Arial" w:cs="Arial"/>
              </w:rPr>
              <w:t xml:space="preserve"> </w:t>
            </w:r>
          </w:p>
          <w:p w:rsidR="00025677" w:rsidRPr="00B3294D" w:rsidRDefault="00C56581" w:rsidP="00B3294D">
            <w:pPr>
              <w:rPr>
                <w:rFonts w:ascii="Arial" w:hAnsi="Arial" w:cs="Arial"/>
              </w:rPr>
            </w:pPr>
            <w:r>
              <w:rPr>
                <w:rFonts w:ascii="Arial" w:hAnsi="Arial" w:cs="Arial"/>
              </w:rPr>
              <w:t xml:space="preserve">To ensure </w:t>
            </w:r>
            <w:r w:rsidR="00D3419D">
              <w:rPr>
                <w:rFonts w:ascii="Arial" w:hAnsi="Arial" w:cs="Arial"/>
              </w:rPr>
              <w:t>effective placement capacity and capability to en</w:t>
            </w:r>
            <w:r>
              <w:rPr>
                <w:rFonts w:ascii="Arial" w:hAnsi="Arial" w:cs="Arial"/>
              </w:rPr>
              <w:t xml:space="preserve">able learners to understand/ appreciate their significant </w:t>
            </w:r>
            <w:r w:rsidR="00D3419D">
              <w:rPr>
                <w:rFonts w:ascii="Arial" w:hAnsi="Arial" w:cs="Arial"/>
              </w:rPr>
              <w:t xml:space="preserve">role </w:t>
            </w:r>
            <w:r>
              <w:rPr>
                <w:rFonts w:ascii="Arial" w:hAnsi="Arial" w:cs="Arial"/>
              </w:rPr>
              <w:t>in preventative healthcare education and practice</w:t>
            </w:r>
            <w:r w:rsidR="00D3419D">
              <w:rPr>
                <w:rFonts w:ascii="Arial" w:hAnsi="Arial" w:cs="Arial"/>
              </w:rPr>
              <w:t>, discuss/ identify</w:t>
            </w:r>
            <w:r>
              <w:rPr>
                <w:rFonts w:ascii="Arial" w:hAnsi="Arial" w:cs="Arial"/>
              </w:rPr>
              <w:t xml:space="preserve"> the following:</w:t>
            </w:r>
          </w:p>
          <w:p w:rsidR="00AE5174" w:rsidRDefault="00AE5174" w:rsidP="00C56581">
            <w:pPr>
              <w:pStyle w:val="ListParagraph"/>
              <w:rPr>
                <w:rFonts w:ascii="Arial" w:hAnsi="Arial" w:cs="Arial"/>
                <w:b/>
              </w:rPr>
            </w:pPr>
          </w:p>
          <w:p w:rsidR="00AE5174" w:rsidRPr="00EC61A3" w:rsidRDefault="00AE5174" w:rsidP="007E5D2C">
            <w:pPr>
              <w:pStyle w:val="ListParagraph"/>
              <w:numPr>
                <w:ilvl w:val="0"/>
                <w:numId w:val="8"/>
              </w:numPr>
              <w:rPr>
                <w:rFonts w:ascii="Arial" w:hAnsi="Arial" w:cs="Arial"/>
              </w:rPr>
            </w:pPr>
            <w:r w:rsidRPr="00EC61A3">
              <w:rPr>
                <w:rFonts w:ascii="Arial" w:hAnsi="Arial" w:cs="Arial"/>
              </w:rPr>
              <w:t xml:space="preserve">What currently works well </w:t>
            </w:r>
            <w:r w:rsidR="00D3419D" w:rsidRPr="00EC61A3">
              <w:rPr>
                <w:rFonts w:ascii="Arial" w:hAnsi="Arial" w:cs="Arial"/>
              </w:rPr>
              <w:t xml:space="preserve">to </w:t>
            </w:r>
            <w:r w:rsidR="00116575" w:rsidRPr="00EC61A3">
              <w:rPr>
                <w:rFonts w:ascii="Arial" w:hAnsi="Arial" w:cs="Arial"/>
              </w:rPr>
              <w:t>support/ enable</w:t>
            </w:r>
            <w:r w:rsidR="00D3419D" w:rsidRPr="00EC61A3">
              <w:rPr>
                <w:rFonts w:ascii="Arial" w:hAnsi="Arial" w:cs="Arial"/>
              </w:rPr>
              <w:t xml:space="preserve"> this?</w:t>
            </w:r>
          </w:p>
          <w:p w:rsidR="00D3419D" w:rsidRPr="00EC61A3" w:rsidRDefault="00D3419D" w:rsidP="007E5D2C">
            <w:pPr>
              <w:pStyle w:val="ListParagraph"/>
              <w:numPr>
                <w:ilvl w:val="0"/>
                <w:numId w:val="8"/>
              </w:numPr>
              <w:rPr>
                <w:rFonts w:ascii="Arial" w:hAnsi="Arial" w:cs="Arial"/>
              </w:rPr>
            </w:pPr>
            <w:r w:rsidRPr="00EC61A3">
              <w:rPr>
                <w:rFonts w:ascii="Arial" w:hAnsi="Arial" w:cs="Arial"/>
              </w:rPr>
              <w:t>What are the gaps?</w:t>
            </w:r>
          </w:p>
          <w:p w:rsidR="00D3419D" w:rsidRPr="00EC61A3" w:rsidRDefault="00D3419D" w:rsidP="007E5D2C">
            <w:pPr>
              <w:pStyle w:val="ListParagraph"/>
              <w:numPr>
                <w:ilvl w:val="0"/>
                <w:numId w:val="8"/>
              </w:numPr>
              <w:rPr>
                <w:rFonts w:ascii="Arial" w:hAnsi="Arial" w:cs="Arial"/>
              </w:rPr>
            </w:pPr>
            <w:r w:rsidRPr="00EC61A3">
              <w:rPr>
                <w:rFonts w:ascii="Arial" w:hAnsi="Arial" w:cs="Arial"/>
              </w:rPr>
              <w:t xml:space="preserve">What opportunities do </w:t>
            </w:r>
            <w:proofErr w:type="gramStart"/>
            <w:r w:rsidRPr="00EC61A3">
              <w:rPr>
                <w:rFonts w:ascii="Arial" w:hAnsi="Arial" w:cs="Arial"/>
              </w:rPr>
              <w:t>I</w:t>
            </w:r>
            <w:proofErr w:type="gramEnd"/>
            <w:r w:rsidRPr="00EC61A3">
              <w:rPr>
                <w:rFonts w:ascii="Arial" w:hAnsi="Arial" w:cs="Arial"/>
              </w:rPr>
              <w:t xml:space="preserve">/ we need to </w:t>
            </w:r>
            <w:r w:rsidR="004025B6" w:rsidRPr="00EC61A3">
              <w:rPr>
                <w:rFonts w:ascii="Arial" w:hAnsi="Arial" w:cs="Arial"/>
              </w:rPr>
              <w:t>create</w:t>
            </w:r>
            <w:r w:rsidR="003F5070">
              <w:rPr>
                <w:rFonts w:ascii="Arial" w:hAnsi="Arial" w:cs="Arial"/>
              </w:rPr>
              <w:t>, in organisations or across local health economies/ networks</w:t>
            </w:r>
            <w:r w:rsidRPr="00EC61A3">
              <w:rPr>
                <w:rFonts w:ascii="Arial" w:hAnsi="Arial" w:cs="Arial"/>
              </w:rPr>
              <w:t>?</w:t>
            </w:r>
          </w:p>
          <w:p w:rsidR="00116575" w:rsidRPr="0028452A" w:rsidRDefault="00D3419D" w:rsidP="000F5087">
            <w:pPr>
              <w:pStyle w:val="ListParagraph"/>
              <w:numPr>
                <w:ilvl w:val="0"/>
                <w:numId w:val="8"/>
              </w:numPr>
              <w:rPr>
                <w:rFonts w:ascii="Arial" w:hAnsi="Arial" w:cs="Arial"/>
              </w:rPr>
            </w:pPr>
            <w:r w:rsidRPr="00EC61A3">
              <w:rPr>
                <w:rFonts w:ascii="Arial" w:hAnsi="Arial" w:cs="Arial"/>
              </w:rPr>
              <w:t xml:space="preserve">What do </w:t>
            </w:r>
            <w:proofErr w:type="gramStart"/>
            <w:r w:rsidRPr="00EC61A3">
              <w:rPr>
                <w:rFonts w:ascii="Arial" w:hAnsi="Arial" w:cs="Arial"/>
              </w:rPr>
              <w:t>I</w:t>
            </w:r>
            <w:proofErr w:type="gramEnd"/>
            <w:r w:rsidRPr="00EC61A3">
              <w:rPr>
                <w:rFonts w:ascii="Arial" w:hAnsi="Arial" w:cs="Arial"/>
              </w:rPr>
              <w:t xml:space="preserve">/ </w:t>
            </w:r>
            <w:r w:rsidR="00116575" w:rsidRPr="00EC61A3">
              <w:rPr>
                <w:rFonts w:ascii="Arial" w:hAnsi="Arial" w:cs="Arial"/>
              </w:rPr>
              <w:t>we need</w:t>
            </w:r>
            <w:r w:rsidRPr="00EC61A3">
              <w:rPr>
                <w:rFonts w:ascii="Arial" w:hAnsi="Arial" w:cs="Arial"/>
              </w:rPr>
              <w:t xml:space="preserve"> to do </w:t>
            </w:r>
            <w:r w:rsidR="004025B6" w:rsidRPr="00EC61A3">
              <w:rPr>
                <w:rFonts w:ascii="Arial" w:hAnsi="Arial" w:cs="Arial"/>
              </w:rPr>
              <w:t xml:space="preserve">differently to ensure public health </w:t>
            </w:r>
            <w:r w:rsidR="00116575" w:rsidRPr="00EC61A3">
              <w:rPr>
                <w:rFonts w:ascii="Arial" w:hAnsi="Arial" w:cs="Arial"/>
              </w:rPr>
              <w:t xml:space="preserve">practice </w:t>
            </w:r>
            <w:r w:rsidR="004025B6" w:rsidRPr="00EC61A3">
              <w:rPr>
                <w:rFonts w:ascii="Arial" w:hAnsi="Arial" w:cs="Arial"/>
              </w:rPr>
              <w:t xml:space="preserve">is </w:t>
            </w:r>
            <w:r w:rsidR="009D6406" w:rsidRPr="00EC61A3">
              <w:rPr>
                <w:rFonts w:ascii="Arial" w:hAnsi="Arial" w:cs="Arial"/>
              </w:rPr>
              <w:t xml:space="preserve">experienced and </w:t>
            </w:r>
            <w:r w:rsidR="004025B6" w:rsidRPr="00EC61A3">
              <w:rPr>
                <w:rFonts w:ascii="Arial" w:hAnsi="Arial" w:cs="Arial"/>
              </w:rPr>
              <w:t>recognised by learners</w:t>
            </w:r>
            <w:r w:rsidR="00116575" w:rsidRPr="00EC61A3">
              <w:rPr>
                <w:rFonts w:ascii="Arial" w:hAnsi="Arial" w:cs="Arial"/>
              </w:rPr>
              <w:t>, and appropriately assessed?</w:t>
            </w:r>
          </w:p>
        </w:tc>
      </w:tr>
      <w:tr w:rsidR="00E81A14" w:rsidRPr="0028452A" w:rsidTr="001807D8">
        <w:tc>
          <w:tcPr>
            <w:tcW w:w="1985" w:type="dxa"/>
          </w:tcPr>
          <w:p w:rsidR="00E81A14" w:rsidRDefault="0032472A" w:rsidP="00355608">
            <w:pPr>
              <w:rPr>
                <w:rFonts w:ascii="Arial" w:hAnsi="Arial" w:cs="Arial"/>
              </w:rPr>
            </w:pPr>
            <w:r>
              <w:rPr>
                <w:rFonts w:ascii="Arial" w:hAnsi="Arial" w:cs="Arial"/>
              </w:rPr>
              <w:t xml:space="preserve">12.50 – 13.05 </w:t>
            </w:r>
          </w:p>
          <w:p w:rsidR="00E81A14" w:rsidRDefault="00E81A14" w:rsidP="00355608">
            <w:pPr>
              <w:rPr>
                <w:rFonts w:ascii="Arial" w:hAnsi="Arial" w:cs="Arial"/>
              </w:rPr>
            </w:pPr>
          </w:p>
        </w:tc>
        <w:tc>
          <w:tcPr>
            <w:tcW w:w="8789" w:type="dxa"/>
          </w:tcPr>
          <w:p w:rsidR="00E81A14" w:rsidRDefault="00E81A14" w:rsidP="0028452A">
            <w:pPr>
              <w:rPr>
                <w:rFonts w:ascii="Arial" w:hAnsi="Arial" w:cs="Arial"/>
                <w:b/>
              </w:rPr>
            </w:pPr>
            <w:r>
              <w:rPr>
                <w:rFonts w:ascii="Arial" w:hAnsi="Arial" w:cs="Arial"/>
                <w:b/>
              </w:rPr>
              <w:t xml:space="preserve">Plenary feedback session and discussion </w:t>
            </w:r>
          </w:p>
        </w:tc>
      </w:tr>
      <w:tr w:rsidR="00E81A14" w:rsidRPr="0028452A" w:rsidTr="001807D8">
        <w:tc>
          <w:tcPr>
            <w:tcW w:w="1985" w:type="dxa"/>
          </w:tcPr>
          <w:p w:rsidR="00E81A14" w:rsidRPr="0028452A" w:rsidRDefault="00DC4D33" w:rsidP="00355608">
            <w:pPr>
              <w:rPr>
                <w:rFonts w:ascii="Arial" w:hAnsi="Arial" w:cs="Arial"/>
              </w:rPr>
            </w:pPr>
            <w:r>
              <w:rPr>
                <w:rFonts w:ascii="Arial" w:hAnsi="Arial" w:cs="Arial"/>
              </w:rPr>
              <w:t>1</w:t>
            </w:r>
            <w:r w:rsidR="0032472A">
              <w:rPr>
                <w:rFonts w:ascii="Arial" w:hAnsi="Arial" w:cs="Arial"/>
              </w:rPr>
              <w:t>3</w:t>
            </w:r>
            <w:r>
              <w:rPr>
                <w:rFonts w:ascii="Arial" w:hAnsi="Arial" w:cs="Arial"/>
              </w:rPr>
              <w:t>.05</w:t>
            </w:r>
            <w:r w:rsidR="00E81A14">
              <w:rPr>
                <w:rFonts w:ascii="Arial" w:hAnsi="Arial" w:cs="Arial"/>
              </w:rPr>
              <w:t xml:space="preserve">  - </w:t>
            </w:r>
            <w:r w:rsidR="0032472A">
              <w:rPr>
                <w:rFonts w:ascii="Arial" w:hAnsi="Arial" w:cs="Arial"/>
              </w:rPr>
              <w:t xml:space="preserve">13.40 </w:t>
            </w:r>
            <w:r w:rsidR="002968F4">
              <w:rPr>
                <w:rFonts w:ascii="Arial" w:hAnsi="Arial" w:cs="Arial"/>
              </w:rPr>
              <w:t xml:space="preserve"> </w:t>
            </w:r>
          </w:p>
        </w:tc>
        <w:tc>
          <w:tcPr>
            <w:tcW w:w="8789" w:type="dxa"/>
          </w:tcPr>
          <w:p w:rsidR="00116575" w:rsidRDefault="00E81A14" w:rsidP="0028452A">
            <w:pPr>
              <w:rPr>
                <w:rFonts w:ascii="Arial" w:hAnsi="Arial" w:cs="Arial"/>
              </w:rPr>
            </w:pPr>
            <w:r w:rsidRPr="0028452A">
              <w:rPr>
                <w:rFonts w:ascii="Arial" w:hAnsi="Arial" w:cs="Arial"/>
                <w:b/>
              </w:rPr>
              <w:t xml:space="preserve">Workshop </w:t>
            </w:r>
            <w:r>
              <w:rPr>
                <w:rFonts w:ascii="Arial" w:hAnsi="Arial" w:cs="Arial"/>
                <w:b/>
              </w:rPr>
              <w:t>Two</w:t>
            </w:r>
          </w:p>
          <w:p w:rsidR="009D6406" w:rsidRPr="00ED05D3" w:rsidRDefault="00ED05D3" w:rsidP="00304E8F">
            <w:pPr>
              <w:pStyle w:val="ListParagraph"/>
              <w:numPr>
                <w:ilvl w:val="0"/>
                <w:numId w:val="6"/>
              </w:numPr>
              <w:rPr>
                <w:rFonts w:ascii="Arial" w:hAnsi="Arial" w:cs="Arial"/>
              </w:rPr>
            </w:pPr>
            <w:r w:rsidRPr="00ED05D3">
              <w:rPr>
                <w:rFonts w:ascii="Arial" w:hAnsi="Arial" w:cs="Arial"/>
              </w:rPr>
              <w:t>Develop and a</w:t>
            </w:r>
            <w:r w:rsidR="009D6406" w:rsidRPr="00ED05D3">
              <w:rPr>
                <w:rFonts w:ascii="Arial" w:hAnsi="Arial" w:cs="Arial"/>
              </w:rPr>
              <w:t xml:space="preserve">gree a joint approach to </w:t>
            </w:r>
            <w:r w:rsidR="00280499">
              <w:rPr>
                <w:rFonts w:ascii="Arial" w:hAnsi="Arial" w:cs="Arial"/>
              </w:rPr>
              <w:t xml:space="preserve">structuring experiences and </w:t>
            </w:r>
            <w:r w:rsidR="009D6406" w:rsidRPr="00ED05D3">
              <w:rPr>
                <w:rFonts w:ascii="Arial" w:hAnsi="Arial" w:cs="Arial"/>
              </w:rPr>
              <w:t xml:space="preserve">assessing </w:t>
            </w:r>
            <w:r w:rsidRPr="00ED05D3">
              <w:rPr>
                <w:rFonts w:ascii="Arial" w:hAnsi="Arial" w:cs="Arial"/>
              </w:rPr>
              <w:t xml:space="preserve">student </w:t>
            </w:r>
            <w:r w:rsidR="009D6406" w:rsidRPr="00ED05D3">
              <w:rPr>
                <w:rFonts w:ascii="Arial" w:hAnsi="Arial" w:cs="Arial"/>
              </w:rPr>
              <w:t xml:space="preserve">learning </w:t>
            </w:r>
            <w:r w:rsidRPr="00ED05D3">
              <w:rPr>
                <w:rFonts w:ascii="Arial" w:hAnsi="Arial" w:cs="Arial"/>
              </w:rPr>
              <w:t xml:space="preserve">in relation to delivering effective public health practice </w:t>
            </w:r>
            <w:r w:rsidR="009D6406" w:rsidRPr="00ED05D3">
              <w:rPr>
                <w:rFonts w:ascii="Arial" w:hAnsi="Arial" w:cs="Arial"/>
              </w:rPr>
              <w:t>in placements</w:t>
            </w:r>
            <w:r w:rsidRPr="00ED05D3">
              <w:rPr>
                <w:rFonts w:ascii="Arial" w:hAnsi="Arial" w:cs="Arial"/>
              </w:rPr>
              <w:t>?</w:t>
            </w:r>
          </w:p>
          <w:p w:rsidR="00ED05D3" w:rsidRPr="00ED05D3" w:rsidRDefault="00ED05D3" w:rsidP="00B3294D">
            <w:pPr>
              <w:pStyle w:val="ListParagraph"/>
              <w:numPr>
                <w:ilvl w:val="0"/>
                <w:numId w:val="6"/>
              </w:numPr>
              <w:rPr>
                <w:rFonts w:ascii="Arial" w:hAnsi="Arial" w:cs="Arial"/>
              </w:rPr>
            </w:pPr>
            <w:r w:rsidRPr="00ED05D3">
              <w:rPr>
                <w:rFonts w:ascii="Arial" w:hAnsi="Arial" w:cs="Arial"/>
              </w:rPr>
              <w:t>How will this be disseminated across networks</w:t>
            </w:r>
            <w:r w:rsidR="00C955B1">
              <w:rPr>
                <w:rFonts w:ascii="Arial" w:hAnsi="Arial" w:cs="Arial"/>
              </w:rPr>
              <w:t>, providers, educators and learners</w:t>
            </w:r>
            <w:r w:rsidRPr="00ED05D3">
              <w:rPr>
                <w:rFonts w:ascii="Arial" w:hAnsi="Arial" w:cs="Arial"/>
              </w:rPr>
              <w:t>?</w:t>
            </w:r>
          </w:p>
          <w:p w:rsidR="00355608" w:rsidRPr="00280499" w:rsidRDefault="00ED05D3" w:rsidP="00653E4F">
            <w:pPr>
              <w:pStyle w:val="ListParagraph"/>
              <w:numPr>
                <w:ilvl w:val="0"/>
                <w:numId w:val="6"/>
              </w:numPr>
              <w:rPr>
                <w:rFonts w:ascii="Arial" w:hAnsi="Arial" w:cs="Arial"/>
                <w:b/>
              </w:rPr>
            </w:pPr>
            <w:r w:rsidRPr="00ED05D3">
              <w:rPr>
                <w:rFonts w:ascii="Arial" w:hAnsi="Arial" w:cs="Arial"/>
              </w:rPr>
              <w:t xml:space="preserve">What </w:t>
            </w:r>
            <w:r w:rsidR="00653E4F">
              <w:rPr>
                <w:rFonts w:ascii="Arial" w:hAnsi="Arial" w:cs="Arial"/>
              </w:rPr>
              <w:t>are our</w:t>
            </w:r>
            <w:r w:rsidR="006768AA">
              <w:rPr>
                <w:rFonts w:ascii="Arial" w:hAnsi="Arial" w:cs="Arial"/>
              </w:rPr>
              <w:t xml:space="preserve"> 3 priority actions after today?</w:t>
            </w:r>
          </w:p>
        </w:tc>
      </w:tr>
      <w:tr w:rsidR="00E81A14" w:rsidRPr="0028452A" w:rsidTr="001807D8">
        <w:tc>
          <w:tcPr>
            <w:tcW w:w="1985" w:type="dxa"/>
          </w:tcPr>
          <w:p w:rsidR="00E81A14" w:rsidRPr="0028452A" w:rsidRDefault="0032472A" w:rsidP="00355608">
            <w:pPr>
              <w:rPr>
                <w:rFonts w:ascii="Arial" w:hAnsi="Arial" w:cs="Arial"/>
              </w:rPr>
            </w:pPr>
            <w:r>
              <w:rPr>
                <w:rFonts w:ascii="Arial" w:hAnsi="Arial" w:cs="Arial"/>
              </w:rPr>
              <w:t xml:space="preserve">13.40 </w:t>
            </w:r>
            <w:r w:rsidR="00E81A14">
              <w:rPr>
                <w:rFonts w:ascii="Arial" w:hAnsi="Arial" w:cs="Arial"/>
              </w:rPr>
              <w:t xml:space="preserve"> – </w:t>
            </w:r>
            <w:r>
              <w:rPr>
                <w:rFonts w:ascii="Arial" w:hAnsi="Arial" w:cs="Arial"/>
              </w:rPr>
              <w:t>14.00</w:t>
            </w:r>
          </w:p>
        </w:tc>
        <w:tc>
          <w:tcPr>
            <w:tcW w:w="8789" w:type="dxa"/>
          </w:tcPr>
          <w:p w:rsidR="00E81A14" w:rsidRDefault="00E81A14" w:rsidP="0028452A">
            <w:pPr>
              <w:rPr>
                <w:rFonts w:ascii="Arial" w:hAnsi="Arial" w:cs="Arial"/>
              </w:rPr>
            </w:pPr>
            <w:r>
              <w:rPr>
                <w:rFonts w:ascii="Arial" w:hAnsi="Arial" w:cs="Arial"/>
                <w:b/>
              </w:rPr>
              <w:t>Summary and Next S</w:t>
            </w:r>
            <w:r w:rsidRPr="00FC0B14">
              <w:rPr>
                <w:rFonts w:ascii="Arial" w:hAnsi="Arial" w:cs="Arial"/>
                <w:b/>
              </w:rPr>
              <w:t xml:space="preserve">teps </w:t>
            </w:r>
          </w:p>
          <w:p w:rsidR="00E81A14" w:rsidRPr="0028452A" w:rsidRDefault="002E1F56" w:rsidP="0028452A">
            <w:pPr>
              <w:rPr>
                <w:rFonts w:ascii="Arial" w:hAnsi="Arial" w:cs="Arial"/>
              </w:rPr>
            </w:pPr>
            <w:r>
              <w:rPr>
                <w:rFonts w:ascii="Arial" w:hAnsi="Arial" w:cs="Arial"/>
              </w:rPr>
              <w:t>Mike Farrell</w:t>
            </w:r>
          </w:p>
        </w:tc>
      </w:tr>
      <w:tr w:rsidR="00E81A14" w:rsidRPr="0028452A" w:rsidTr="001807D8">
        <w:tc>
          <w:tcPr>
            <w:tcW w:w="1985" w:type="dxa"/>
          </w:tcPr>
          <w:p w:rsidR="00E81A14" w:rsidRPr="0028452A" w:rsidRDefault="00E81A14" w:rsidP="00355608">
            <w:pPr>
              <w:rPr>
                <w:rFonts w:ascii="Arial" w:hAnsi="Arial" w:cs="Arial"/>
              </w:rPr>
            </w:pPr>
            <w:r>
              <w:rPr>
                <w:rFonts w:ascii="Arial" w:hAnsi="Arial" w:cs="Arial"/>
              </w:rPr>
              <w:t>1</w:t>
            </w:r>
            <w:r w:rsidR="0032472A">
              <w:rPr>
                <w:rFonts w:ascii="Arial" w:hAnsi="Arial" w:cs="Arial"/>
              </w:rPr>
              <w:t>4</w:t>
            </w:r>
            <w:r>
              <w:rPr>
                <w:rFonts w:ascii="Arial" w:hAnsi="Arial" w:cs="Arial"/>
              </w:rPr>
              <w:t>.00</w:t>
            </w:r>
          </w:p>
        </w:tc>
        <w:tc>
          <w:tcPr>
            <w:tcW w:w="8789" w:type="dxa"/>
          </w:tcPr>
          <w:p w:rsidR="00355608" w:rsidRPr="00355608" w:rsidRDefault="00E81A14" w:rsidP="000F5087">
            <w:pPr>
              <w:rPr>
                <w:rFonts w:ascii="Arial" w:hAnsi="Arial" w:cs="Arial"/>
                <w:b/>
              </w:rPr>
            </w:pPr>
            <w:r w:rsidRPr="00E66656">
              <w:rPr>
                <w:rFonts w:ascii="Arial" w:hAnsi="Arial" w:cs="Arial"/>
                <w:b/>
              </w:rPr>
              <w:t>Close &amp; Lunch</w:t>
            </w:r>
            <w:r>
              <w:rPr>
                <w:rFonts w:ascii="Arial" w:hAnsi="Arial" w:cs="Arial"/>
                <w:b/>
              </w:rPr>
              <w:t xml:space="preserve"> </w:t>
            </w:r>
            <w:r w:rsidRPr="00E66656">
              <w:rPr>
                <w:rFonts w:ascii="Arial" w:hAnsi="Arial" w:cs="Arial"/>
                <w:b/>
              </w:rPr>
              <w:t xml:space="preserve"> </w:t>
            </w:r>
          </w:p>
        </w:tc>
      </w:tr>
    </w:tbl>
    <w:p w:rsidR="006C04AF" w:rsidRPr="000F5087" w:rsidRDefault="006C04AF" w:rsidP="000F5087">
      <w:pPr>
        <w:tabs>
          <w:tab w:val="left" w:pos="5670"/>
        </w:tabs>
        <w:rPr>
          <w:rFonts w:ascii="Arial" w:hAnsi="Arial" w:cs="Arial"/>
        </w:rPr>
      </w:pPr>
    </w:p>
    <w:sectPr w:rsidR="006C04AF" w:rsidRPr="000F5087" w:rsidSect="00304E8F">
      <w:headerReference w:type="even" r:id="rId11"/>
      <w:headerReference w:type="default" r:id="rId12"/>
      <w:footerReference w:type="even" r:id="rId13"/>
      <w:footerReference w:type="default" r:id="rId14"/>
      <w:headerReference w:type="first" r:id="rId15"/>
      <w:footerReference w:type="first" r:id="rId16"/>
      <w:pgSz w:w="11906" w:h="16838" w:code="9"/>
      <w:pgMar w:top="1276" w:right="1440" w:bottom="102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628" w:rsidRDefault="00F06628" w:rsidP="007672A2">
      <w:pPr>
        <w:spacing w:after="0" w:line="240" w:lineRule="auto"/>
      </w:pPr>
      <w:r>
        <w:separator/>
      </w:r>
    </w:p>
  </w:endnote>
  <w:endnote w:type="continuationSeparator" w:id="0">
    <w:p w:rsidR="00F06628" w:rsidRDefault="00F06628" w:rsidP="00767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6B6" w:rsidRDefault="00B456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6B6" w:rsidRDefault="00B456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6B6" w:rsidRDefault="00B456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628" w:rsidRDefault="00F06628" w:rsidP="007672A2">
      <w:pPr>
        <w:spacing w:after="0" w:line="240" w:lineRule="auto"/>
      </w:pPr>
      <w:r>
        <w:separator/>
      </w:r>
    </w:p>
  </w:footnote>
  <w:footnote w:type="continuationSeparator" w:id="0">
    <w:p w:rsidR="00F06628" w:rsidRDefault="00F06628" w:rsidP="00767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6B6" w:rsidRDefault="00B456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52A" w:rsidRDefault="00120EDF" w:rsidP="0028452A">
    <w:pPr>
      <w:pStyle w:val="Header"/>
      <w:tabs>
        <w:tab w:val="clear" w:pos="9026"/>
        <w:tab w:val="right" w:pos="9639"/>
      </w:tabs>
    </w:pPr>
    <w:r>
      <w:rPr>
        <w:noProof/>
        <w:lang w:eastAsia="en-GB"/>
      </w:rPr>
      <w:drawing>
        <wp:anchor distT="0" distB="0" distL="114300" distR="114300" simplePos="0" relativeHeight="251657728" behindDoc="1" locked="0" layoutInCell="1" allowOverlap="1">
          <wp:simplePos x="0" y="0"/>
          <wp:positionH relativeFrom="column">
            <wp:posOffset>-505460</wp:posOffset>
          </wp:positionH>
          <wp:positionV relativeFrom="paragraph">
            <wp:posOffset>-269240</wp:posOffset>
          </wp:positionV>
          <wp:extent cx="1700530" cy="952500"/>
          <wp:effectExtent l="0" t="0" r="0" b="0"/>
          <wp:wrapTight wrapText="bothSides">
            <wp:wrapPolygon edited="0">
              <wp:start x="0" y="0"/>
              <wp:lineTo x="0" y="21168"/>
              <wp:lineTo x="21294" y="21168"/>
              <wp:lineTo x="21294" y="0"/>
              <wp:lineTo x="0" y="0"/>
            </wp:wrapPolygon>
          </wp:wrapTight>
          <wp:docPr id="1" name="Picture 1" descr="v:\Desktop\Miscellaneous\LOGOS\PHPN 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sktop\Miscellaneous\LOGOS\PHPN mediu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053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452A">
      <w:rPr>
        <w:noProof/>
        <w:lang w:eastAsia="en-GB"/>
      </w:rPr>
      <w:drawing>
        <wp:anchor distT="0" distB="0" distL="114300" distR="114300" simplePos="0" relativeHeight="251656704" behindDoc="1" locked="0" layoutInCell="1" allowOverlap="1" wp14:anchorId="6ACC4227" wp14:editId="3912D3DF">
          <wp:simplePos x="0" y="0"/>
          <wp:positionH relativeFrom="column">
            <wp:posOffset>-1146175</wp:posOffset>
          </wp:positionH>
          <wp:positionV relativeFrom="paragraph">
            <wp:posOffset>-366395</wp:posOffset>
          </wp:positionV>
          <wp:extent cx="7559040" cy="1104900"/>
          <wp:effectExtent l="0" t="0" r="381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104900"/>
                  </a:xfrm>
                  <a:prstGeom prst="rect">
                    <a:avLst/>
                  </a:prstGeom>
                  <a:noFill/>
                </pic:spPr>
              </pic:pic>
            </a:graphicData>
          </a:graphic>
          <wp14:sizeRelH relativeFrom="page">
            <wp14:pctWidth>0</wp14:pctWidth>
          </wp14:sizeRelH>
          <wp14:sizeRelV relativeFrom="page">
            <wp14:pctHeight>0</wp14:pctHeight>
          </wp14:sizeRelV>
        </wp:anchor>
      </w:drawing>
    </w:r>
  </w:p>
  <w:p w:rsidR="007672A2" w:rsidRDefault="007672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6B6" w:rsidRDefault="00B456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5974"/>
    <w:multiLevelType w:val="hybridMultilevel"/>
    <w:tmpl w:val="17F44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3752989"/>
    <w:multiLevelType w:val="hybridMultilevel"/>
    <w:tmpl w:val="5532D9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1A3C21"/>
    <w:multiLevelType w:val="hybridMultilevel"/>
    <w:tmpl w:val="F472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320B98"/>
    <w:multiLevelType w:val="hybridMultilevel"/>
    <w:tmpl w:val="F176DB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DE02B10"/>
    <w:multiLevelType w:val="hybridMultilevel"/>
    <w:tmpl w:val="27463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2032D12"/>
    <w:multiLevelType w:val="hybridMultilevel"/>
    <w:tmpl w:val="9418BF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1662D6"/>
    <w:multiLevelType w:val="hybridMultilevel"/>
    <w:tmpl w:val="F3AEE2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C1778E8"/>
    <w:multiLevelType w:val="hybridMultilevel"/>
    <w:tmpl w:val="7EC6EC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02277F"/>
    <w:multiLevelType w:val="hybridMultilevel"/>
    <w:tmpl w:val="B92A00BA"/>
    <w:lvl w:ilvl="0" w:tplc="269A26F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4"/>
  </w:num>
  <w:num w:numId="5">
    <w:abstractNumId w:val="2"/>
  </w:num>
  <w:num w:numId="6">
    <w:abstractNumId w:val="1"/>
  </w:num>
  <w:num w:numId="7">
    <w:abstractNumId w:val="7"/>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F55"/>
    <w:rsid w:val="00010ECD"/>
    <w:rsid w:val="00025677"/>
    <w:rsid w:val="000448C2"/>
    <w:rsid w:val="000A6623"/>
    <w:rsid w:val="000F5087"/>
    <w:rsid w:val="00116575"/>
    <w:rsid w:val="00120EDF"/>
    <w:rsid w:val="0014230D"/>
    <w:rsid w:val="00145E6A"/>
    <w:rsid w:val="0017733E"/>
    <w:rsid w:val="001807D8"/>
    <w:rsid w:val="00192194"/>
    <w:rsid w:val="001A2C45"/>
    <w:rsid w:val="001A55A1"/>
    <w:rsid w:val="001F3223"/>
    <w:rsid w:val="0022575E"/>
    <w:rsid w:val="0024226A"/>
    <w:rsid w:val="00243AC2"/>
    <w:rsid w:val="00244033"/>
    <w:rsid w:val="00280499"/>
    <w:rsid w:val="0028452A"/>
    <w:rsid w:val="00287220"/>
    <w:rsid w:val="002968F4"/>
    <w:rsid w:val="0029713C"/>
    <w:rsid w:val="002B4EE1"/>
    <w:rsid w:val="002B5456"/>
    <w:rsid w:val="002E0D3C"/>
    <w:rsid w:val="002E1F56"/>
    <w:rsid w:val="00303542"/>
    <w:rsid w:val="00304E8F"/>
    <w:rsid w:val="0032303A"/>
    <w:rsid w:val="0032472A"/>
    <w:rsid w:val="00327B8D"/>
    <w:rsid w:val="00337C1D"/>
    <w:rsid w:val="00355608"/>
    <w:rsid w:val="0038152C"/>
    <w:rsid w:val="003863B4"/>
    <w:rsid w:val="00394E94"/>
    <w:rsid w:val="003A4037"/>
    <w:rsid w:val="003C75F9"/>
    <w:rsid w:val="003F5070"/>
    <w:rsid w:val="004025B6"/>
    <w:rsid w:val="00412CB4"/>
    <w:rsid w:val="00442A09"/>
    <w:rsid w:val="00444C30"/>
    <w:rsid w:val="00471913"/>
    <w:rsid w:val="00475209"/>
    <w:rsid w:val="00503298"/>
    <w:rsid w:val="00504BFF"/>
    <w:rsid w:val="00523FF6"/>
    <w:rsid w:val="005C7681"/>
    <w:rsid w:val="005D535E"/>
    <w:rsid w:val="00615598"/>
    <w:rsid w:val="00652088"/>
    <w:rsid w:val="00653E4F"/>
    <w:rsid w:val="0067660C"/>
    <w:rsid w:val="006768AA"/>
    <w:rsid w:val="0068172E"/>
    <w:rsid w:val="00684884"/>
    <w:rsid w:val="00695A72"/>
    <w:rsid w:val="006974FD"/>
    <w:rsid w:val="006C04AF"/>
    <w:rsid w:val="006C464B"/>
    <w:rsid w:val="006C7335"/>
    <w:rsid w:val="006E23C8"/>
    <w:rsid w:val="00700077"/>
    <w:rsid w:val="00702613"/>
    <w:rsid w:val="00732BEC"/>
    <w:rsid w:val="00744DDC"/>
    <w:rsid w:val="007672A2"/>
    <w:rsid w:val="00770627"/>
    <w:rsid w:val="007A5ADF"/>
    <w:rsid w:val="007E0C3B"/>
    <w:rsid w:val="007E5D2C"/>
    <w:rsid w:val="007F1390"/>
    <w:rsid w:val="0080770B"/>
    <w:rsid w:val="0081498C"/>
    <w:rsid w:val="0082416C"/>
    <w:rsid w:val="008A408F"/>
    <w:rsid w:val="008B4D4B"/>
    <w:rsid w:val="00901450"/>
    <w:rsid w:val="00904F82"/>
    <w:rsid w:val="00946B5E"/>
    <w:rsid w:val="00972F1D"/>
    <w:rsid w:val="009D353A"/>
    <w:rsid w:val="009D6406"/>
    <w:rsid w:val="00A11B2B"/>
    <w:rsid w:val="00AB23E1"/>
    <w:rsid w:val="00AE5174"/>
    <w:rsid w:val="00B13E26"/>
    <w:rsid w:val="00B3294D"/>
    <w:rsid w:val="00B456B6"/>
    <w:rsid w:val="00B53255"/>
    <w:rsid w:val="00B7532D"/>
    <w:rsid w:val="00B76460"/>
    <w:rsid w:val="00B91CCF"/>
    <w:rsid w:val="00B96F30"/>
    <w:rsid w:val="00BB3E4D"/>
    <w:rsid w:val="00BF5239"/>
    <w:rsid w:val="00C35216"/>
    <w:rsid w:val="00C43C31"/>
    <w:rsid w:val="00C56581"/>
    <w:rsid w:val="00C955B1"/>
    <w:rsid w:val="00CA1CEB"/>
    <w:rsid w:val="00CE08C8"/>
    <w:rsid w:val="00D3419D"/>
    <w:rsid w:val="00D42E9B"/>
    <w:rsid w:val="00D6152E"/>
    <w:rsid w:val="00D65D25"/>
    <w:rsid w:val="00D83ADD"/>
    <w:rsid w:val="00D923D7"/>
    <w:rsid w:val="00DC4D33"/>
    <w:rsid w:val="00DF3075"/>
    <w:rsid w:val="00E13878"/>
    <w:rsid w:val="00E25F55"/>
    <w:rsid w:val="00E330B5"/>
    <w:rsid w:val="00E66656"/>
    <w:rsid w:val="00E70E64"/>
    <w:rsid w:val="00E81A14"/>
    <w:rsid w:val="00E968E2"/>
    <w:rsid w:val="00E97486"/>
    <w:rsid w:val="00EA2595"/>
    <w:rsid w:val="00EC20D6"/>
    <w:rsid w:val="00EC61A3"/>
    <w:rsid w:val="00ED05D3"/>
    <w:rsid w:val="00EE1440"/>
    <w:rsid w:val="00EE2E57"/>
    <w:rsid w:val="00F05C7F"/>
    <w:rsid w:val="00F06628"/>
    <w:rsid w:val="00F12885"/>
    <w:rsid w:val="00F24959"/>
    <w:rsid w:val="00F2761E"/>
    <w:rsid w:val="00F57AF6"/>
    <w:rsid w:val="00FA318C"/>
    <w:rsid w:val="00FB7E45"/>
    <w:rsid w:val="00FC0B14"/>
    <w:rsid w:val="00FE1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F55"/>
    <w:pPr>
      <w:spacing w:after="0" w:line="240" w:lineRule="auto"/>
      <w:ind w:left="720"/>
    </w:pPr>
    <w:rPr>
      <w:rFonts w:ascii="Calibri" w:hAnsi="Calibri" w:cs="Times New Roman"/>
    </w:rPr>
  </w:style>
  <w:style w:type="table" w:styleId="TableGrid">
    <w:name w:val="Table Grid"/>
    <w:basedOn w:val="TableNormal"/>
    <w:uiPriority w:val="59"/>
    <w:rsid w:val="00EE2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72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2A2"/>
  </w:style>
  <w:style w:type="paragraph" w:styleId="Footer">
    <w:name w:val="footer"/>
    <w:basedOn w:val="Normal"/>
    <w:link w:val="FooterChar"/>
    <w:uiPriority w:val="99"/>
    <w:unhideWhenUsed/>
    <w:rsid w:val="00767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2A2"/>
  </w:style>
  <w:style w:type="paragraph" w:styleId="BalloonText">
    <w:name w:val="Balloon Text"/>
    <w:basedOn w:val="Normal"/>
    <w:link w:val="BalloonTextChar"/>
    <w:uiPriority w:val="99"/>
    <w:semiHidden/>
    <w:unhideWhenUsed/>
    <w:rsid w:val="00284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2A"/>
    <w:rPr>
      <w:rFonts w:ascii="Tahoma" w:hAnsi="Tahoma" w:cs="Tahoma"/>
      <w:sz w:val="16"/>
      <w:szCs w:val="16"/>
    </w:rPr>
  </w:style>
  <w:style w:type="character" w:styleId="Hyperlink">
    <w:name w:val="Hyperlink"/>
    <w:basedOn w:val="DefaultParagraphFont"/>
    <w:uiPriority w:val="99"/>
    <w:unhideWhenUsed/>
    <w:rsid w:val="00120EDF"/>
    <w:rPr>
      <w:color w:val="0000FF" w:themeColor="hyperlink"/>
      <w:u w:val="single"/>
    </w:rPr>
  </w:style>
  <w:style w:type="character" w:styleId="FollowedHyperlink">
    <w:name w:val="FollowedHyperlink"/>
    <w:basedOn w:val="DefaultParagraphFont"/>
    <w:uiPriority w:val="99"/>
    <w:semiHidden/>
    <w:unhideWhenUsed/>
    <w:rsid w:val="002B54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F55"/>
    <w:pPr>
      <w:spacing w:after="0" w:line="240" w:lineRule="auto"/>
      <w:ind w:left="720"/>
    </w:pPr>
    <w:rPr>
      <w:rFonts w:ascii="Calibri" w:hAnsi="Calibri" w:cs="Times New Roman"/>
    </w:rPr>
  </w:style>
  <w:style w:type="table" w:styleId="TableGrid">
    <w:name w:val="Table Grid"/>
    <w:basedOn w:val="TableNormal"/>
    <w:uiPriority w:val="59"/>
    <w:rsid w:val="00EE2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72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2A2"/>
  </w:style>
  <w:style w:type="paragraph" w:styleId="Footer">
    <w:name w:val="footer"/>
    <w:basedOn w:val="Normal"/>
    <w:link w:val="FooterChar"/>
    <w:uiPriority w:val="99"/>
    <w:unhideWhenUsed/>
    <w:rsid w:val="00767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2A2"/>
  </w:style>
  <w:style w:type="paragraph" w:styleId="BalloonText">
    <w:name w:val="Balloon Text"/>
    <w:basedOn w:val="Normal"/>
    <w:link w:val="BalloonTextChar"/>
    <w:uiPriority w:val="99"/>
    <w:semiHidden/>
    <w:unhideWhenUsed/>
    <w:rsid w:val="00284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2A"/>
    <w:rPr>
      <w:rFonts w:ascii="Tahoma" w:hAnsi="Tahoma" w:cs="Tahoma"/>
      <w:sz w:val="16"/>
      <w:szCs w:val="16"/>
    </w:rPr>
  </w:style>
  <w:style w:type="character" w:styleId="Hyperlink">
    <w:name w:val="Hyperlink"/>
    <w:basedOn w:val="DefaultParagraphFont"/>
    <w:uiPriority w:val="99"/>
    <w:unhideWhenUsed/>
    <w:rsid w:val="00120EDF"/>
    <w:rPr>
      <w:color w:val="0000FF" w:themeColor="hyperlink"/>
      <w:u w:val="single"/>
    </w:rPr>
  </w:style>
  <w:style w:type="character" w:styleId="FollowedHyperlink">
    <w:name w:val="FollowedHyperlink"/>
    <w:basedOn w:val="DefaultParagraphFont"/>
    <w:uiPriority w:val="99"/>
    <w:semiHidden/>
    <w:unhideWhenUsed/>
    <w:rsid w:val="002B5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566873">
      <w:bodyDiv w:val="1"/>
      <w:marLeft w:val="0"/>
      <w:marRight w:val="0"/>
      <w:marTop w:val="0"/>
      <w:marBottom w:val="0"/>
      <w:divBdr>
        <w:top w:val="none" w:sz="0" w:space="0" w:color="auto"/>
        <w:left w:val="none" w:sz="0" w:space="0" w:color="auto"/>
        <w:bottom w:val="none" w:sz="0" w:space="0" w:color="auto"/>
        <w:right w:val="none" w:sz="0" w:space="0" w:color="auto"/>
      </w:divBdr>
    </w:div>
    <w:div w:id="161647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mmu.ac.uk/travel/manchester/"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twitter.com/nwphp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Lancashire Care NHS Foundation Trust</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Farrar Alison (LCFT)</dc:creator>
  <cp:lastModifiedBy>MacMillan Victoria (NWHEE)</cp:lastModifiedBy>
  <cp:revision>8</cp:revision>
  <cp:lastPrinted>2016-02-26T13:36:00Z</cp:lastPrinted>
  <dcterms:created xsi:type="dcterms:W3CDTF">2016-10-17T10:33:00Z</dcterms:created>
  <dcterms:modified xsi:type="dcterms:W3CDTF">2016-10-17T11:02:00Z</dcterms:modified>
</cp:coreProperties>
</file>