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D2" w:rsidRPr="00FF7EA6" w:rsidRDefault="009A6DD2" w:rsidP="00443E2B">
      <w:pPr>
        <w:rPr>
          <w:b/>
          <w:sz w:val="32"/>
        </w:rPr>
      </w:pPr>
      <w:bookmarkStart w:id="0" w:name="_GoBack"/>
      <w:bookmarkEnd w:id="0"/>
      <w:r w:rsidRPr="00FF7EA6">
        <w:rPr>
          <w:b/>
          <w:sz w:val="32"/>
        </w:rPr>
        <w:t>CUMBRIA WORKFORCE INTELLIGENCE</w:t>
      </w:r>
    </w:p>
    <w:p w:rsidR="009A6DD2" w:rsidRPr="009A6DD2" w:rsidRDefault="009A6DD2" w:rsidP="00443E2B">
      <w:pPr>
        <w:rPr>
          <w:sz w:val="24"/>
        </w:rPr>
      </w:pPr>
    </w:p>
    <w:p w:rsidR="009A6DD2" w:rsidRPr="009A6DD2" w:rsidRDefault="009A6DD2" w:rsidP="00443E2B">
      <w:pPr>
        <w:rPr>
          <w:b/>
        </w:rPr>
      </w:pPr>
      <w:r w:rsidRPr="009A6DD2">
        <w:rPr>
          <w:b/>
        </w:rPr>
        <w:t>Contents</w:t>
      </w:r>
    </w:p>
    <w:p w:rsidR="00443E2B" w:rsidRDefault="00443E2B" w:rsidP="00FF7EA6">
      <w:pPr>
        <w:pStyle w:val="ListParagraph"/>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3992"/>
      </w:tblGrid>
      <w:tr w:rsidR="00FF7EA6" w:rsidTr="00F352FC">
        <w:tc>
          <w:tcPr>
            <w:tcW w:w="4371" w:type="dxa"/>
          </w:tcPr>
          <w:p w:rsidR="00FF7EA6" w:rsidRDefault="00FF7EA6" w:rsidP="00FF7EA6"/>
        </w:tc>
        <w:tc>
          <w:tcPr>
            <w:tcW w:w="3992" w:type="dxa"/>
          </w:tcPr>
          <w:p w:rsidR="00FF7EA6" w:rsidRDefault="00FF7EA6" w:rsidP="00FF7EA6">
            <w:r>
              <w:t>Page</w:t>
            </w:r>
          </w:p>
        </w:tc>
      </w:tr>
      <w:tr w:rsidR="00793155" w:rsidTr="00F352FC">
        <w:tc>
          <w:tcPr>
            <w:tcW w:w="4371" w:type="dxa"/>
          </w:tcPr>
          <w:p w:rsidR="00793155" w:rsidRDefault="00793155" w:rsidP="00793155">
            <w:pPr>
              <w:pStyle w:val="ListParagraph"/>
            </w:pPr>
          </w:p>
        </w:tc>
        <w:tc>
          <w:tcPr>
            <w:tcW w:w="3992" w:type="dxa"/>
          </w:tcPr>
          <w:p w:rsidR="00793155" w:rsidRDefault="00793155" w:rsidP="00FF7EA6"/>
        </w:tc>
      </w:tr>
      <w:tr w:rsidR="00FF7EA6" w:rsidTr="00F352FC">
        <w:tc>
          <w:tcPr>
            <w:tcW w:w="4371" w:type="dxa"/>
          </w:tcPr>
          <w:p w:rsidR="00FF7EA6" w:rsidRDefault="00FF7EA6" w:rsidP="00FF7EA6">
            <w:pPr>
              <w:pStyle w:val="ListParagraph"/>
              <w:numPr>
                <w:ilvl w:val="0"/>
                <w:numId w:val="1"/>
              </w:numPr>
            </w:pPr>
            <w:r>
              <w:t>Cumbria Health Profile</w:t>
            </w:r>
          </w:p>
          <w:p w:rsidR="00FF7EA6" w:rsidRDefault="00FF7EA6" w:rsidP="00FF7EA6"/>
        </w:tc>
        <w:tc>
          <w:tcPr>
            <w:tcW w:w="3992" w:type="dxa"/>
          </w:tcPr>
          <w:p w:rsidR="00FF7EA6" w:rsidRDefault="00793155" w:rsidP="00FF7EA6">
            <w:r>
              <w:t>2</w:t>
            </w:r>
          </w:p>
        </w:tc>
      </w:tr>
      <w:tr w:rsidR="00FF7EA6" w:rsidTr="00F352FC">
        <w:tc>
          <w:tcPr>
            <w:tcW w:w="4371" w:type="dxa"/>
          </w:tcPr>
          <w:p w:rsidR="00FF7EA6" w:rsidRDefault="00FF7EA6" w:rsidP="00FF7EA6">
            <w:pPr>
              <w:pStyle w:val="ListParagraph"/>
              <w:numPr>
                <w:ilvl w:val="0"/>
                <w:numId w:val="1"/>
              </w:numPr>
            </w:pPr>
            <w:r>
              <w:t xml:space="preserve">NHS Workforce </w:t>
            </w:r>
          </w:p>
          <w:p w:rsidR="00FF7EA6" w:rsidRDefault="00FF7EA6" w:rsidP="00FF7EA6"/>
        </w:tc>
        <w:tc>
          <w:tcPr>
            <w:tcW w:w="3992" w:type="dxa"/>
          </w:tcPr>
          <w:p w:rsidR="00FF7EA6" w:rsidRDefault="00793155" w:rsidP="00FF7EA6">
            <w:r>
              <w:t>4</w:t>
            </w:r>
          </w:p>
        </w:tc>
      </w:tr>
      <w:tr w:rsidR="00FF7EA6" w:rsidTr="00F352FC">
        <w:tc>
          <w:tcPr>
            <w:tcW w:w="4371" w:type="dxa"/>
          </w:tcPr>
          <w:p w:rsidR="00FF7EA6" w:rsidRDefault="00FF7EA6" w:rsidP="00FF7EA6">
            <w:pPr>
              <w:pStyle w:val="ListParagraph"/>
              <w:numPr>
                <w:ilvl w:val="0"/>
                <w:numId w:val="1"/>
              </w:numPr>
            </w:pPr>
            <w:r>
              <w:t xml:space="preserve">Social Care workforce </w:t>
            </w:r>
          </w:p>
          <w:p w:rsidR="00FF7EA6" w:rsidRDefault="00FF7EA6" w:rsidP="00FF7EA6"/>
        </w:tc>
        <w:tc>
          <w:tcPr>
            <w:tcW w:w="3992" w:type="dxa"/>
          </w:tcPr>
          <w:p w:rsidR="00FF7EA6" w:rsidRDefault="00793155" w:rsidP="00FF7EA6">
            <w:r>
              <w:t>8</w:t>
            </w:r>
          </w:p>
        </w:tc>
      </w:tr>
      <w:tr w:rsidR="00FF7EA6" w:rsidTr="00F352FC">
        <w:tc>
          <w:tcPr>
            <w:tcW w:w="4371" w:type="dxa"/>
          </w:tcPr>
          <w:p w:rsidR="00FF7EA6" w:rsidRDefault="00FF7EA6" w:rsidP="00FF7EA6">
            <w:pPr>
              <w:pStyle w:val="ListParagraph"/>
              <w:numPr>
                <w:ilvl w:val="0"/>
                <w:numId w:val="1"/>
              </w:numPr>
            </w:pPr>
            <w:r>
              <w:t>Primary Care Workforce</w:t>
            </w:r>
          </w:p>
          <w:p w:rsidR="00FF7EA6" w:rsidRDefault="00FF7EA6" w:rsidP="00FF7EA6"/>
        </w:tc>
        <w:tc>
          <w:tcPr>
            <w:tcW w:w="3992" w:type="dxa"/>
          </w:tcPr>
          <w:p w:rsidR="00FF7EA6" w:rsidRDefault="00793155" w:rsidP="00FF7EA6">
            <w:r>
              <w:t>11</w:t>
            </w:r>
          </w:p>
        </w:tc>
      </w:tr>
      <w:tr w:rsidR="00FF7EA6" w:rsidTr="00F352FC">
        <w:tc>
          <w:tcPr>
            <w:tcW w:w="4371" w:type="dxa"/>
          </w:tcPr>
          <w:p w:rsidR="00FF7EA6" w:rsidRDefault="00FF7EA6" w:rsidP="00FF7EA6">
            <w:pPr>
              <w:pStyle w:val="ListParagraph"/>
              <w:numPr>
                <w:ilvl w:val="0"/>
                <w:numId w:val="1"/>
              </w:numPr>
            </w:pPr>
            <w:r>
              <w:t>Education</w:t>
            </w:r>
          </w:p>
        </w:tc>
        <w:tc>
          <w:tcPr>
            <w:tcW w:w="3992" w:type="dxa"/>
          </w:tcPr>
          <w:p w:rsidR="00FF7EA6" w:rsidRDefault="00793155" w:rsidP="00FF7EA6">
            <w:r>
              <w:t>14</w:t>
            </w:r>
          </w:p>
        </w:tc>
      </w:tr>
      <w:tr w:rsidR="00FF7EA6" w:rsidTr="00F352FC">
        <w:tc>
          <w:tcPr>
            <w:tcW w:w="4371" w:type="dxa"/>
          </w:tcPr>
          <w:p w:rsidR="00FF7EA6" w:rsidRDefault="00FF7EA6" w:rsidP="00FF7EA6"/>
        </w:tc>
        <w:tc>
          <w:tcPr>
            <w:tcW w:w="3992" w:type="dxa"/>
          </w:tcPr>
          <w:p w:rsidR="00FF7EA6" w:rsidRDefault="00FF7EA6" w:rsidP="00FF7EA6"/>
        </w:tc>
      </w:tr>
    </w:tbl>
    <w:p w:rsidR="00FF7EA6" w:rsidRDefault="00FF7EA6" w:rsidP="00FF7EA6"/>
    <w:p w:rsidR="00443E2B" w:rsidRPr="00FF7EA6" w:rsidRDefault="00443E2B" w:rsidP="00FF7EA6">
      <w:pPr>
        <w:pStyle w:val="ListParagraph"/>
        <w:numPr>
          <w:ilvl w:val="0"/>
          <w:numId w:val="5"/>
        </w:numPr>
        <w:rPr>
          <w:b/>
          <w:u w:val="single"/>
        </w:rPr>
      </w:pPr>
      <w:r>
        <w:br w:type="page"/>
      </w:r>
      <w:r w:rsidR="00F3352E" w:rsidRPr="00FF7EA6">
        <w:rPr>
          <w:b/>
          <w:u w:val="single"/>
        </w:rPr>
        <w:lastRenderedPageBreak/>
        <w:t>Cumbria Health Profile</w:t>
      </w:r>
    </w:p>
    <w:p w:rsidR="00F3352E" w:rsidRPr="0019351B" w:rsidRDefault="00F3352E" w:rsidP="00F3352E">
      <w:pPr>
        <w:rPr>
          <w:color w:val="808080" w:themeColor="background1" w:themeShade="80"/>
        </w:rPr>
      </w:pPr>
      <w:r w:rsidRPr="0019351B">
        <w:rPr>
          <w:b/>
          <w:color w:val="808080" w:themeColor="background1" w:themeShade="80"/>
        </w:rPr>
        <w:t>Source:</w:t>
      </w:r>
      <w:r w:rsidRPr="0019351B">
        <w:rPr>
          <w:color w:val="808080" w:themeColor="background1" w:themeShade="80"/>
        </w:rPr>
        <w:t xml:space="preserve"> Public Health England: Local Health Profile</w:t>
      </w:r>
    </w:p>
    <w:p w:rsidR="008F3ACE" w:rsidRDefault="00F3352E" w:rsidP="00F3352E">
      <w:r w:rsidRPr="0019351B">
        <w:rPr>
          <w:b/>
          <w:color w:val="808080" w:themeColor="background1" w:themeShade="80"/>
        </w:rPr>
        <w:t xml:space="preserve">Further details at: </w:t>
      </w:r>
      <w:hyperlink r:id="rId8" w:history="1">
        <w:r w:rsidRPr="00F3352E">
          <w:rPr>
            <w:rStyle w:val="Hyperlink"/>
          </w:rPr>
          <w:t>HealthProfile2015Cumbria16.pdf</w:t>
        </w:r>
      </w:hyperlink>
    </w:p>
    <w:p w:rsidR="00B22C12" w:rsidRPr="00F3352E" w:rsidRDefault="00B22C12" w:rsidP="00F3352E"/>
    <w:p w:rsidR="005D1639" w:rsidRPr="00B22C12" w:rsidRDefault="005D1639" w:rsidP="00B22C12">
      <w:pPr>
        <w:jc w:val="both"/>
        <w:rPr>
          <w:b/>
        </w:rPr>
      </w:pPr>
      <w:r w:rsidRPr="00B22C12">
        <w:rPr>
          <w:b/>
        </w:rPr>
        <w:t>Health in summary</w:t>
      </w:r>
    </w:p>
    <w:p w:rsidR="00F37213" w:rsidRPr="00B22C12" w:rsidRDefault="005D1639" w:rsidP="00B22C12">
      <w:pPr>
        <w:jc w:val="both"/>
      </w:pPr>
      <w:r w:rsidRPr="00B22C12">
        <w:t>The health of people in Cumbria is varied compared with the England average. Deprivation is lower than average, however about 14.7% (12,000) children live in poverty. Life expectancy for both men and women is lower than the England average.</w:t>
      </w:r>
    </w:p>
    <w:p w:rsidR="005D1639" w:rsidRPr="00B22C12" w:rsidRDefault="005C3C80" w:rsidP="00B22C12">
      <w:pPr>
        <w:jc w:val="both"/>
        <w:rPr>
          <w:b/>
        </w:rPr>
      </w:pPr>
      <w:r w:rsidRPr="00B22C12">
        <w:rPr>
          <w:b/>
        </w:rPr>
        <w:t>Life Expectancy</w:t>
      </w:r>
    </w:p>
    <w:p w:rsidR="005C3C80" w:rsidRPr="00B22C12" w:rsidRDefault="005C3C80" w:rsidP="00B22C12">
      <w:pPr>
        <w:autoSpaceDE w:val="0"/>
        <w:autoSpaceDN w:val="0"/>
        <w:adjustRightInd w:val="0"/>
        <w:spacing w:after="0" w:line="240" w:lineRule="auto"/>
        <w:jc w:val="both"/>
        <w:rPr>
          <w:rFonts w:cs="Arial"/>
        </w:rPr>
      </w:pPr>
      <w:r w:rsidRPr="00B22C12">
        <w:rPr>
          <w:rFonts w:cs="Arial"/>
        </w:rPr>
        <w:t>Life expectancy is 9.5 years lower for men and 7.3 years lower for women in the most deprived areas of Cumbria than in the least deprived areas.</w:t>
      </w:r>
    </w:p>
    <w:p w:rsidR="005C3C80" w:rsidRPr="00B22C12" w:rsidRDefault="005C3C80" w:rsidP="00B22C12">
      <w:pPr>
        <w:autoSpaceDE w:val="0"/>
        <w:autoSpaceDN w:val="0"/>
        <w:adjustRightInd w:val="0"/>
        <w:spacing w:after="0" w:line="240" w:lineRule="auto"/>
        <w:jc w:val="both"/>
        <w:rPr>
          <w:rFonts w:cs="Arial"/>
        </w:rPr>
      </w:pPr>
    </w:p>
    <w:p w:rsidR="005C3C80" w:rsidRPr="00B22C12" w:rsidRDefault="005C3C80" w:rsidP="00B22C12">
      <w:pPr>
        <w:autoSpaceDE w:val="0"/>
        <w:autoSpaceDN w:val="0"/>
        <w:adjustRightInd w:val="0"/>
        <w:spacing w:after="0" w:line="240" w:lineRule="auto"/>
        <w:jc w:val="both"/>
        <w:rPr>
          <w:rFonts w:cs="Arial"/>
        </w:rPr>
      </w:pPr>
      <w:r w:rsidRPr="00B22C12">
        <w:rPr>
          <w:noProof/>
          <w:lang w:eastAsia="en-GB"/>
        </w:rPr>
        <w:drawing>
          <wp:inline distT="0" distB="0" distL="0" distR="0" wp14:anchorId="013DE432" wp14:editId="3E67FED2">
            <wp:extent cx="5731510" cy="2493452"/>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493452"/>
                    </a:xfrm>
                    <a:prstGeom prst="rect">
                      <a:avLst/>
                    </a:prstGeom>
                  </pic:spPr>
                </pic:pic>
              </a:graphicData>
            </a:graphic>
          </wp:inline>
        </w:drawing>
      </w:r>
    </w:p>
    <w:p w:rsidR="005C3C80" w:rsidRPr="00B22C12" w:rsidRDefault="005C3C80" w:rsidP="00B22C12">
      <w:pPr>
        <w:autoSpaceDE w:val="0"/>
        <w:autoSpaceDN w:val="0"/>
        <w:adjustRightInd w:val="0"/>
        <w:spacing w:after="0" w:line="240" w:lineRule="auto"/>
        <w:jc w:val="both"/>
        <w:rPr>
          <w:rFonts w:cs="Arial"/>
        </w:rPr>
      </w:pPr>
    </w:p>
    <w:p w:rsidR="005C3C80" w:rsidRPr="00B22C12" w:rsidRDefault="005C3C80" w:rsidP="00B22C12">
      <w:pPr>
        <w:autoSpaceDE w:val="0"/>
        <w:autoSpaceDN w:val="0"/>
        <w:adjustRightInd w:val="0"/>
        <w:spacing w:after="0" w:line="240" w:lineRule="auto"/>
        <w:jc w:val="both"/>
        <w:rPr>
          <w:rFonts w:cs="Arial"/>
        </w:rPr>
      </w:pPr>
    </w:p>
    <w:p w:rsidR="005C3C80" w:rsidRPr="00B22C12" w:rsidRDefault="005C3C80" w:rsidP="00B22C12">
      <w:pPr>
        <w:autoSpaceDE w:val="0"/>
        <w:autoSpaceDN w:val="0"/>
        <w:adjustRightInd w:val="0"/>
        <w:spacing w:after="0" w:line="240" w:lineRule="auto"/>
        <w:jc w:val="both"/>
        <w:rPr>
          <w:rFonts w:cs="Arial"/>
          <w:b/>
        </w:rPr>
      </w:pPr>
      <w:r w:rsidRPr="00B22C12">
        <w:rPr>
          <w:rFonts w:cs="Arial"/>
          <w:b/>
        </w:rPr>
        <w:t>Child Health</w:t>
      </w:r>
    </w:p>
    <w:p w:rsidR="005C3C80" w:rsidRPr="00B22C12" w:rsidRDefault="005C3C80" w:rsidP="00B22C12">
      <w:pPr>
        <w:autoSpaceDE w:val="0"/>
        <w:autoSpaceDN w:val="0"/>
        <w:adjustRightInd w:val="0"/>
        <w:spacing w:after="0" w:line="240" w:lineRule="auto"/>
        <w:jc w:val="both"/>
        <w:rPr>
          <w:rFonts w:cs="Arial"/>
        </w:rPr>
      </w:pPr>
      <w:r w:rsidRPr="00B22C12">
        <w:rPr>
          <w:rFonts w:cs="Arial"/>
        </w:rPr>
        <w:t xml:space="preserve">In Year 6, 19.3% (869) of children are classified as obese. </w:t>
      </w:r>
    </w:p>
    <w:p w:rsidR="005C3C80" w:rsidRPr="00B22C12" w:rsidRDefault="005C3C80" w:rsidP="00B22C12">
      <w:pPr>
        <w:autoSpaceDE w:val="0"/>
        <w:autoSpaceDN w:val="0"/>
        <w:adjustRightInd w:val="0"/>
        <w:spacing w:after="0" w:line="240" w:lineRule="auto"/>
        <w:jc w:val="both"/>
        <w:rPr>
          <w:rFonts w:cs="Arial"/>
        </w:rPr>
      </w:pPr>
      <w:r w:rsidRPr="00B22C12">
        <w:rPr>
          <w:rFonts w:cs="Arial"/>
        </w:rPr>
        <w:t xml:space="preserve">The rate of alcohol-specific hospital stays among those under 18 was 68.0*, worse than the average for England. This represents 65 stays per year. </w:t>
      </w:r>
    </w:p>
    <w:p w:rsidR="005C3C80" w:rsidRPr="00B22C12" w:rsidRDefault="005C3C80" w:rsidP="00B22C12">
      <w:pPr>
        <w:autoSpaceDE w:val="0"/>
        <w:autoSpaceDN w:val="0"/>
        <w:adjustRightInd w:val="0"/>
        <w:spacing w:after="0" w:line="240" w:lineRule="auto"/>
        <w:jc w:val="both"/>
        <w:rPr>
          <w:rFonts w:cs="Arial"/>
        </w:rPr>
      </w:pPr>
      <w:r w:rsidRPr="00B22C12">
        <w:rPr>
          <w:rFonts w:cs="Arial"/>
        </w:rPr>
        <w:t xml:space="preserve">Levels of breastfeeding and smoking at time of delivery are worse than the England average. </w:t>
      </w:r>
    </w:p>
    <w:p w:rsidR="005C3C80" w:rsidRPr="00B22C12" w:rsidRDefault="005C3C80" w:rsidP="00B22C12">
      <w:pPr>
        <w:autoSpaceDE w:val="0"/>
        <w:autoSpaceDN w:val="0"/>
        <w:adjustRightInd w:val="0"/>
        <w:spacing w:after="0" w:line="240" w:lineRule="auto"/>
        <w:jc w:val="both"/>
        <w:rPr>
          <w:rFonts w:cs="Arial"/>
        </w:rPr>
      </w:pPr>
      <w:r w:rsidRPr="00B22C12">
        <w:rPr>
          <w:rFonts w:cs="Arial"/>
        </w:rPr>
        <w:t>Levels of teenage pregnancy are better than the England average.</w:t>
      </w:r>
    </w:p>
    <w:p w:rsidR="00F3352E" w:rsidRPr="00B22C12" w:rsidRDefault="00F3352E" w:rsidP="00B22C12">
      <w:pPr>
        <w:autoSpaceDE w:val="0"/>
        <w:autoSpaceDN w:val="0"/>
        <w:adjustRightInd w:val="0"/>
        <w:spacing w:after="0" w:line="240" w:lineRule="auto"/>
        <w:jc w:val="both"/>
        <w:rPr>
          <w:rFonts w:cs="Arial"/>
        </w:rPr>
      </w:pPr>
    </w:p>
    <w:p w:rsidR="00F3352E" w:rsidRPr="00B22C12" w:rsidRDefault="00F3352E" w:rsidP="00B22C12">
      <w:pPr>
        <w:autoSpaceDE w:val="0"/>
        <w:autoSpaceDN w:val="0"/>
        <w:adjustRightInd w:val="0"/>
        <w:spacing w:after="0" w:line="240" w:lineRule="auto"/>
        <w:jc w:val="both"/>
        <w:rPr>
          <w:rFonts w:cs="Arial"/>
        </w:rPr>
      </w:pPr>
    </w:p>
    <w:p w:rsidR="00F3352E" w:rsidRPr="00B22C12" w:rsidRDefault="00F3352E" w:rsidP="00B22C12">
      <w:pPr>
        <w:autoSpaceDE w:val="0"/>
        <w:autoSpaceDN w:val="0"/>
        <w:adjustRightInd w:val="0"/>
        <w:spacing w:after="0" w:line="240" w:lineRule="auto"/>
        <w:jc w:val="both"/>
        <w:rPr>
          <w:rFonts w:cs="Arial"/>
        </w:rPr>
      </w:pPr>
      <w:r w:rsidRPr="00B22C12">
        <w:rPr>
          <w:noProof/>
          <w:lang w:eastAsia="en-GB"/>
        </w:rPr>
        <w:drawing>
          <wp:inline distT="0" distB="0" distL="0" distR="0" wp14:anchorId="36A7A205" wp14:editId="57FF760D">
            <wp:extent cx="5731510" cy="608054"/>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608054"/>
                    </a:xfrm>
                    <a:prstGeom prst="rect">
                      <a:avLst/>
                    </a:prstGeom>
                  </pic:spPr>
                </pic:pic>
              </a:graphicData>
            </a:graphic>
          </wp:inline>
        </w:drawing>
      </w:r>
    </w:p>
    <w:p w:rsidR="00B22C12" w:rsidRDefault="00F3352E" w:rsidP="00B22C12">
      <w:pPr>
        <w:autoSpaceDE w:val="0"/>
        <w:autoSpaceDN w:val="0"/>
        <w:adjustRightInd w:val="0"/>
        <w:spacing w:after="0" w:line="240" w:lineRule="auto"/>
        <w:jc w:val="both"/>
        <w:rPr>
          <w:rFonts w:cs="Arial"/>
        </w:rPr>
      </w:pPr>
      <w:r w:rsidRPr="00B22C12">
        <w:rPr>
          <w:noProof/>
          <w:lang w:eastAsia="en-GB"/>
        </w:rPr>
        <w:drawing>
          <wp:inline distT="0" distB="0" distL="0" distR="0" wp14:anchorId="7E60C190" wp14:editId="60EEA048">
            <wp:extent cx="5731510" cy="774611"/>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774611"/>
                    </a:xfrm>
                    <a:prstGeom prst="rect">
                      <a:avLst/>
                    </a:prstGeom>
                  </pic:spPr>
                </pic:pic>
              </a:graphicData>
            </a:graphic>
          </wp:inline>
        </w:drawing>
      </w:r>
    </w:p>
    <w:p w:rsidR="005C3C80" w:rsidRPr="00B22C12" w:rsidRDefault="005C3C80" w:rsidP="00B22C12">
      <w:pPr>
        <w:autoSpaceDE w:val="0"/>
        <w:autoSpaceDN w:val="0"/>
        <w:adjustRightInd w:val="0"/>
        <w:spacing w:after="0" w:line="240" w:lineRule="auto"/>
        <w:jc w:val="both"/>
        <w:rPr>
          <w:rFonts w:cs="Arial"/>
        </w:rPr>
      </w:pPr>
      <w:r w:rsidRPr="00B22C12">
        <w:rPr>
          <w:rFonts w:cs="Arial"/>
          <w:b/>
          <w:bCs/>
        </w:rPr>
        <w:lastRenderedPageBreak/>
        <w:t>Adult health</w:t>
      </w:r>
    </w:p>
    <w:p w:rsidR="00F3352E" w:rsidRPr="00B22C12" w:rsidRDefault="00F3352E" w:rsidP="00B22C12">
      <w:pPr>
        <w:autoSpaceDE w:val="0"/>
        <w:autoSpaceDN w:val="0"/>
        <w:adjustRightInd w:val="0"/>
        <w:spacing w:after="0" w:line="240" w:lineRule="auto"/>
        <w:jc w:val="both"/>
        <w:rPr>
          <w:rFonts w:cs="Arial"/>
          <w:b/>
          <w:bCs/>
        </w:rPr>
      </w:pPr>
    </w:p>
    <w:p w:rsidR="005C3C80" w:rsidRPr="00B22C12" w:rsidRDefault="005C3C80" w:rsidP="00B22C12">
      <w:pPr>
        <w:autoSpaceDE w:val="0"/>
        <w:autoSpaceDN w:val="0"/>
        <w:adjustRightInd w:val="0"/>
        <w:spacing w:after="0" w:line="240" w:lineRule="auto"/>
        <w:jc w:val="both"/>
        <w:rPr>
          <w:rFonts w:cs="Arial"/>
        </w:rPr>
      </w:pPr>
      <w:r w:rsidRPr="00B22C12">
        <w:rPr>
          <w:rFonts w:cs="Arial"/>
        </w:rPr>
        <w:t>In 2012, 23.9% of adults are classified as obese.</w:t>
      </w:r>
    </w:p>
    <w:p w:rsidR="005C3C80" w:rsidRPr="00B22C12" w:rsidRDefault="005C3C80" w:rsidP="00B22C12">
      <w:pPr>
        <w:autoSpaceDE w:val="0"/>
        <w:autoSpaceDN w:val="0"/>
        <w:adjustRightInd w:val="0"/>
        <w:spacing w:after="0" w:line="240" w:lineRule="auto"/>
        <w:jc w:val="both"/>
        <w:rPr>
          <w:rFonts w:cs="Arial"/>
        </w:rPr>
      </w:pPr>
      <w:r w:rsidRPr="00B22C12">
        <w:rPr>
          <w:rFonts w:cs="Arial"/>
        </w:rPr>
        <w:t xml:space="preserve">The rate of alcohol related harm hospital stays was 742*, worse than the average for England. This represents 3,767 stays per year. </w:t>
      </w:r>
    </w:p>
    <w:p w:rsidR="005C3C80" w:rsidRPr="00B22C12" w:rsidRDefault="005C3C80" w:rsidP="00B22C12">
      <w:pPr>
        <w:autoSpaceDE w:val="0"/>
        <w:autoSpaceDN w:val="0"/>
        <w:adjustRightInd w:val="0"/>
        <w:spacing w:after="0" w:line="240" w:lineRule="auto"/>
        <w:jc w:val="both"/>
        <w:rPr>
          <w:rFonts w:cs="Arial"/>
        </w:rPr>
      </w:pPr>
      <w:r w:rsidRPr="00B22C12">
        <w:rPr>
          <w:rFonts w:cs="Arial"/>
        </w:rPr>
        <w:t xml:space="preserve">The rate of self-harm hospital stays was 266.0*, worse than the average for England. This represents 1,250 stays per year. </w:t>
      </w:r>
    </w:p>
    <w:p w:rsidR="005C3C80" w:rsidRPr="00B22C12" w:rsidRDefault="005C3C80" w:rsidP="00B22C12">
      <w:pPr>
        <w:autoSpaceDE w:val="0"/>
        <w:autoSpaceDN w:val="0"/>
        <w:adjustRightInd w:val="0"/>
        <w:spacing w:after="0" w:line="240" w:lineRule="auto"/>
        <w:jc w:val="both"/>
        <w:rPr>
          <w:rFonts w:cs="Arial"/>
        </w:rPr>
      </w:pPr>
      <w:r w:rsidRPr="00B22C12">
        <w:rPr>
          <w:rFonts w:cs="Arial"/>
        </w:rPr>
        <w:t xml:space="preserve">The rate of smoking related deaths was 297*. This represents 973 deaths per year. </w:t>
      </w:r>
    </w:p>
    <w:p w:rsidR="005C3C80" w:rsidRPr="00B22C12" w:rsidRDefault="005C3C80" w:rsidP="00B22C12">
      <w:pPr>
        <w:autoSpaceDE w:val="0"/>
        <w:autoSpaceDN w:val="0"/>
        <w:adjustRightInd w:val="0"/>
        <w:spacing w:after="0" w:line="240" w:lineRule="auto"/>
        <w:jc w:val="both"/>
        <w:rPr>
          <w:rFonts w:cs="Arial"/>
        </w:rPr>
      </w:pPr>
      <w:r w:rsidRPr="00B22C12">
        <w:rPr>
          <w:rFonts w:cs="Arial"/>
        </w:rPr>
        <w:t xml:space="preserve">Estimated levels of adult excess weight are worse than the England average. </w:t>
      </w:r>
    </w:p>
    <w:p w:rsidR="005C3C80" w:rsidRPr="00B22C12" w:rsidRDefault="005C3C80" w:rsidP="00B22C12">
      <w:pPr>
        <w:autoSpaceDE w:val="0"/>
        <w:autoSpaceDN w:val="0"/>
        <w:adjustRightInd w:val="0"/>
        <w:spacing w:after="0" w:line="240" w:lineRule="auto"/>
        <w:jc w:val="both"/>
        <w:rPr>
          <w:rFonts w:cs="Arial"/>
        </w:rPr>
      </w:pPr>
      <w:r w:rsidRPr="00B22C12">
        <w:rPr>
          <w:rFonts w:cs="Arial"/>
        </w:rPr>
        <w:t xml:space="preserve">The rate of people killed and seriously injured on roads is worse than average. </w:t>
      </w:r>
    </w:p>
    <w:p w:rsidR="005C3C80" w:rsidRPr="00B22C12" w:rsidRDefault="005C3C80" w:rsidP="00B22C12">
      <w:pPr>
        <w:autoSpaceDE w:val="0"/>
        <w:autoSpaceDN w:val="0"/>
        <w:adjustRightInd w:val="0"/>
        <w:spacing w:after="0" w:line="240" w:lineRule="auto"/>
        <w:jc w:val="both"/>
        <w:rPr>
          <w:rFonts w:cs="Arial"/>
        </w:rPr>
      </w:pPr>
      <w:r w:rsidRPr="00B22C12">
        <w:rPr>
          <w:rFonts w:cs="Arial"/>
        </w:rPr>
        <w:t xml:space="preserve">Rates of sexually transmitted infections and TB are better than average. </w:t>
      </w:r>
    </w:p>
    <w:p w:rsidR="005C3C80" w:rsidRPr="00B22C12" w:rsidRDefault="005C3C80" w:rsidP="00B22C12">
      <w:pPr>
        <w:autoSpaceDE w:val="0"/>
        <w:autoSpaceDN w:val="0"/>
        <w:adjustRightInd w:val="0"/>
        <w:spacing w:after="0" w:line="240" w:lineRule="auto"/>
        <w:jc w:val="both"/>
        <w:rPr>
          <w:rFonts w:cs="Arial"/>
        </w:rPr>
      </w:pPr>
      <w:r w:rsidRPr="00B22C12">
        <w:rPr>
          <w:rFonts w:cs="Arial"/>
        </w:rPr>
        <w:t>Rates of statutory homelessness, violent crime, long term unemployment and drug misuse are better than average.</w:t>
      </w:r>
    </w:p>
    <w:p w:rsidR="00F3352E" w:rsidRPr="00B22C12" w:rsidRDefault="00F3352E" w:rsidP="00B22C12">
      <w:pPr>
        <w:autoSpaceDE w:val="0"/>
        <w:autoSpaceDN w:val="0"/>
        <w:adjustRightInd w:val="0"/>
        <w:spacing w:after="0" w:line="240" w:lineRule="auto"/>
        <w:jc w:val="both"/>
        <w:rPr>
          <w:rFonts w:cs="Arial"/>
        </w:rPr>
      </w:pPr>
    </w:p>
    <w:p w:rsidR="00F3352E" w:rsidRPr="00B22C12" w:rsidRDefault="00F3352E" w:rsidP="00B22C12">
      <w:pPr>
        <w:autoSpaceDE w:val="0"/>
        <w:autoSpaceDN w:val="0"/>
        <w:adjustRightInd w:val="0"/>
        <w:spacing w:after="0" w:line="240" w:lineRule="auto"/>
        <w:jc w:val="both"/>
        <w:rPr>
          <w:rFonts w:cs="Arial"/>
        </w:rPr>
      </w:pPr>
      <w:r w:rsidRPr="00B22C12">
        <w:rPr>
          <w:noProof/>
          <w:lang w:eastAsia="en-GB"/>
        </w:rPr>
        <w:drawing>
          <wp:inline distT="0" distB="0" distL="0" distR="0" wp14:anchorId="3D87C472" wp14:editId="1C881E89">
            <wp:extent cx="5731510" cy="608054"/>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608054"/>
                    </a:xfrm>
                    <a:prstGeom prst="rect">
                      <a:avLst/>
                    </a:prstGeom>
                  </pic:spPr>
                </pic:pic>
              </a:graphicData>
            </a:graphic>
          </wp:inline>
        </w:drawing>
      </w:r>
    </w:p>
    <w:p w:rsidR="005D1639" w:rsidRPr="00B22C12" w:rsidRDefault="00F3352E" w:rsidP="00B22C12">
      <w:pPr>
        <w:jc w:val="both"/>
      </w:pPr>
      <w:r w:rsidRPr="00B22C12">
        <w:rPr>
          <w:noProof/>
          <w:lang w:eastAsia="en-GB"/>
        </w:rPr>
        <w:drawing>
          <wp:inline distT="0" distB="0" distL="0" distR="0" wp14:anchorId="2D082E6F" wp14:editId="2DEA28CC">
            <wp:extent cx="5731510" cy="62458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624588"/>
                    </a:xfrm>
                    <a:prstGeom prst="rect">
                      <a:avLst/>
                    </a:prstGeom>
                  </pic:spPr>
                </pic:pic>
              </a:graphicData>
            </a:graphic>
          </wp:inline>
        </w:drawing>
      </w:r>
    </w:p>
    <w:p w:rsidR="005C3C80" w:rsidRPr="00B22C12" w:rsidRDefault="005C3C80" w:rsidP="00B22C12">
      <w:pPr>
        <w:autoSpaceDE w:val="0"/>
        <w:autoSpaceDN w:val="0"/>
        <w:adjustRightInd w:val="0"/>
        <w:spacing w:after="0" w:line="240" w:lineRule="auto"/>
        <w:jc w:val="both"/>
        <w:rPr>
          <w:rFonts w:cs="Arial"/>
          <w:b/>
          <w:bCs/>
        </w:rPr>
      </w:pPr>
      <w:r w:rsidRPr="00B22C12">
        <w:rPr>
          <w:rFonts w:cs="Arial"/>
          <w:b/>
          <w:bCs/>
        </w:rPr>
        <w:t>Local priorities</w:t>
      </w:r>
    </w:p>
    <w:p w:rsidR="005C3C80" w:rsidRPr="00B22C12" w:rsidRDefault="005C3C80" w:rsidP="00B22C12">
      <w:pPr>
        <w:autoSpaceDE w:val="0"/>
        <w:autoSpaceDN w:val="0"/>
        <w:adjustRightInd w:val="0"/>
        <w:spacing w:after="0" w:line="240" w:lineRule="auto"/>
        <w:jc w:val="both"/>
        <w:rPr>
          <w:rFonts w:cs="Arial"/>
        </w:rPr>
      </w:pPr>
      <w:r w:rsidRPr="00B22C12">
        <w:rPr>
          <w:rFonts w:cs="Arial"/>
        </w:rPr>
        <w:t>Priorities in Cumbria include reducing inequalities, ensuring children get the best start in life, improving mental health and wellbeing, and supporting an ageing population.</w:t>
      </w:r>
    </w:p>
    <w:p w:rsidR="005D1639" w:rsidRPr="00B22C12" w:rsidRDefault="005D1639" w:rsidP="00B22C12">
      <w:pPr>
        <w:jc w:val="both"/>
      </w:pPr>
    </w:p>
    <w:p w:rsidR="005D1639" w:rsidRDefault="005D1639" w:rsidP="005D1639"/>
    <w:p w:rsidR="005D1639" w:rsidRDefault="005D1639" w:rsidP="005D1639"/>
    <w:p w:rsidR="005D1639" w:rsidRDefault="005D1639" w:rsidP="005D1639"/>
    <w:p w:rsidR="005D1639" w:rsidRDefault="005D1639" w:rsidP="005D1639"/>
    <w:p w:rsidR="005D1639" w:rsidRDefault="005D1639" w:rsidP="005D1639"/>
    <w:p w:rsidR="005D1639" w:rsidRDefault="005D1639" w:rsidP="005D1639"/>
    <w:p w:rsidR="005D1639" w:rsidRDefault="005D1639" w:rsidP="005D1639"/>
    <w:p w:rsidR="005D1639" w:rsidRDefault="005D1639" w:rsidP="005D1639"/>
    <w:p w:rsidR="005D1639" w:rsidRDefault="005D1639" w:rsidP="005D1639"/>
    <w:p w:rsidR="005D1639" w:rsidRDefault="005D1639" w:rsidP="005D1639"/>
    <w:p w:rsidR="005D1639" w:rsidRDefault="005D1639" w:rsidP="005D1639"/>
    <w:p w:rsidR="005D1639" w:rsidRDefault="005D1639" w:rsidP="005D1639"/>
    <w:p w:rsidR="005D1639" w:rsidRDefault="005D1639" w:rsidP="005D1639"/>
    <w:p w:rsidR="00FF7EA6" w:rsidRPr="00FF7EA6" w:rsidRDefault="00FF7EA6" w:rsidP="00C74B2E">
      <w:pPr>
        <w:pStyle w:val="ListParagraph"/>
        <w:numPr>
          <w:ilvl w:val="0"/>
          <w:numId w:val="5"/>
        </w:numPr>
        <w:jc w:val="both"/>
        <w:rPr>
          <w:b/>
          <w:noProof/>
          <w:u w:val="single"/>
          <w:lang w:eastAsia="en-GB"/>
        </w:rPr>
      </w:pPr>
      <w:r>
        <w:rPr>
          <w:b/>
          <w:noProof/>
          <w:u w:val="single"/>
          <w:lang w:eastAsia="en-GB"/>
        </w:rPr>
        <w:lastRenderedPageBreak/>
        <w:t>NHS Workforce</w:t>
      </w:r>
    </w:p>
    <w:p w:rsidR="00FF7EA6" w:rsidRDefault="00FF7EA6" w:rsidP="00FF7EA6">
      <w:pPr>
        <w:rPr>
          <w:color w:val="808080" w:themeColor="background1" w:themeShade="80"/>
        </w:rPr>
      </w:pPr>
      <w:r w:rsidRPr="0019351B">
        <w:rPr>
          <w:b/>
          <w:color w:val="808080" w:themeColor="background1" w:themeShade="80"/>
        </w:rPr>
        <w:t>Source:</w:t>
      </w:r>
      <w:r w:rsidRPr="0019351B">
        <w:rPr>
          <w:color w:val="808080" w:themeColor="background1" w:themeShade="80"/>
        </w:rPr>
        <w:t xml:space="preserve"> </w:t>
      </w:r>
      <w:r>
        <w:rPr>
          <w:color w:val="808080" w:themeColor="background1" w:themeShade="80"/>
        </w:rPr>
        <w:t>ESR Data Warehouse Sep-15</w:t>
      </w:r>
    </w:p>
    <w:p w:rsidR="00991998" w:rsidRPr="0048361E" w:rsidRDefault="00991998" w:rsidP="00FF7EA6">
      <w:pPr>
        <w:rPr>
          <w:b/>
        </w:rPr>
      </w:pPr>
      <w:r w:rsidRPr="0048361E">
        <w:rPr>
          <w:b/>
        </w:rPr>
        <w:t>Overview</w:t>
      </w:r>
    </w:p>
    <w:p w:rsidR="00991998" w:rsidRPr="00991998" w:rsidRDefault="00991998" w:rsidP="004E30E2">
      <w:pPr>
        <w:jc w:val="both"/>
      </w:pPr>
      <w:r>
        <w:t>In Cumbria there is a staff headcount of 13,463 which in FTEs represents 11,608. The workforce in this area is relatively young with only 5% of staff working towards retirement age (over 60). The majority of the workforce, nearly 60%, is aged between 40 and 60.</w:t>
      </w:r>
      <w:r w:rsidR="005B63F4">
        <w:t xml:space="preserve"> </w:t>
      </w:r>
      <w:r w:rsidR="004E30E2">
        <w:t xml:space="preserve">Bands 3 to 6 represent 75% of the workforce in Cumbria </w:t>
      </w:r>
      <w:r w:rsidR="005B63F4">
        <w:t>which drives the average cost of employee as £27k per year.</w:t>
      </w:r>
    </w:p>
    <w:p w:rsidR="00F352FC" w:rsidRPr="0019351B" w:rsidRDefault="00F352FC" w:rsidP="00FF7EA6">
      <w:pPr>
        <w:rPr>
          <w:color w:val="808080" w:themeColor="background1" w:themeShade="80"/>
        </w:rPr>
      </w:pPr>
      <w:r w:rsidRPr="0019351B">
        <w:rPr>
          <w:b/>
          <w:color w:val="808080" w:themeColor="background1" w:themeShade="80"/>
        </w:rPr>
        <w:t>Further details at:</w:t>
      </w:r>
      <w:r w:rsidR="0048361E">
        <w:rPr>
          <w:b/>
          <w:color w:val="808080" w:themeColor="background1" w:themeShade="80"/>
        </w:rPr>
        <w:t xml:space="preserve"> </w:t>
      </w:r>
      <w:hyperlink r:id="rId13" w:history="1">
        <w:r w:rsidR="0048361E" w:rsidRPr="0048361E">
          <w:rPr>
            <w:rStyle w:val="Hyperlink"/>
            <w:b/>
            <w:noProof/>
            <w:lang w:eastAsia="en-GB"/>
          </w:rPr>
          <w:t>http://www.hscic.gov.uk/searchcatalogue?productid=19283&amp;returnid=1907</w:t>
        </w:r>
      </w:hyperlink>
    </w:p>
    <w:p w:rsidR="00FF7EA6" w:rsidRPr="00FF7EA6" w:rsidRDefault="00FF7EA6" w:rsidP="00C74B2E">
      <w:pPr>
        <w:jc w:val="both"/>
        <w:rPr>
          <w:color w:val="808080" w:themeColor="background1" w:themeShade="80"/>
        </w:rPr>
      </w:pPr>
      <w:r w:rsidRPr="00FF7EA6">
        <w:rPr>
          <w:color w:val="808080" w:themeColor="background1" w:themeShade="80"/>
        </w:rPr>
        <w:t>Overview of Cumbria, North Cumbria and NWAS Workforce from the ESR Data Warehouse Sep-15</w:t>
      </w:r>
    </w:p>
    <w:p w:rsidR="00C74B2E" w:rsidRDefault="00C74B2E" w:rsidP="00C74B2E">
      <w:pPr>
        <w:jc w:val="both"/>
        <w:rPr>
          <w:noProof/>
          <w:lang w:eastAsia="en-GB"/>
        </w:rPr>
      </w:pPr>
      <w:r>
        <w:rPr>
          <w:noProof/>
          <w:lang w:eastAsia="en-GB"/>
        </w:rPr>
        <w:t>Table 1 shows the overall workforce by headcount and FTE as at September 2015 which is the most up to date position available from the ESR Data Warehouse.</w:t>
      </w:r>
    </w:p>
    <w:p w:rsidR="00C74B2E" w:rsidRDefault="00C74B2E" w:rsidP="00C74B2E">
      <w:pPr>
        <w:jc w:val="both"/>
        <w:rPr>
          <w:noProof/>
          <w:lang w:eastAsia="en-GB"/>
        </w:rPr>
      </w:pPr>
      <w:r>
        <w:rPr>
          <w:noProof/>
          <w:lang w:eastAsia="en-GB"/>
        </w:rPr>
        <w:t>Table 2 further breaks down the headcount by staff group.</w:t>
      </w:r>
    </w:p>
    <w:p w:rsidR="00C74B2E" w:rsidRPr="00AF6EE3" w:rsidRDefault="00C74B2E" w:rsidP="00C74B2E">
      <w:pPr>
        <w:jc w:val="both"/>
        <w:rPr>
          <w:i/>
          <w:noProof/>
          <w:lang w:eastAsia="en-GB"/>
        </w:rPr>
      </w:pPr>
      <w:r w:rsidRPr="00AF6EE3">
        <w:rPr>
          <w:i/>
          <w:noProof/>
          <w:lang w:eastAsia="en-GB"/>
        </w:rPr>
        <w:t>Table 1</w:t>
      </w:r>
    </w:p>
    <w:p w:rsidR="00C74B2E" w:rsidRDefault="00C74B2E" w:rsidP="00C74B2E">
      <w:pPr>
        <w:jc w:val="both"/>
        <w:rPr>
          <w:noProof/>
          <w:lang w:eastAsia="en-GB"/>
        </w:rPr>
      </w:pPr>
      <w:r w:rsidRPr="00AF6EE3">
        <w:rPr>
          <w:noProof/>
          <w:lang w:eastAsia="en-GB"/>
        </w:rPr>
        <w:drawing>
          <wp:inline distT="0" distB="0" distL="0" distR="0" wp14:anchorId="0B2BF719" wp14:editId="30B33D85">
            <wp:extent cx="4529455" cy="956945"/>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9455" cy="956945"/>
                    </a:xfrm>
                    <a:prstGeom prst="rect">
                      <a:avLst/>
                    </a:prstGeom>
                    <a:noFill/>
                    <a:ln>
                      <a:noFill/>
                    </a:ln>
                  </pic:spPr>
                </pic:pic>
              </a:graphicData>
            </a:graphic>
          </wp:inline>
        </w:drawing>
      </w:r>
    </w:p>
    <w:p w:rsidR="00C74B2E" w:rsidRDefault="00C74B2E" w:rsidP="00C74B2E">
      <w:pPr>
        <w:jc w:val="both"/>
        <w:rPr>
          <w:i/>
          <w:noProof/>
          <w:lang w:eastAsia="en-GB"/>
        </w:rPr>
      </w:pPr>
      <w:r>
        <w:rPr>
          <w:i/>
          <w:noProof/>
          <w:lang w:eastAsia="en-GB"/>
        </w:rPr>
        <w:t>Table 2</w:t>
      </w:r>
    </w:p>
    <w:p w:rsidR="00C74B2E" w:rsidRPr="0035339E" w:rsidRDefault="00C74B2E" w:rsidP="00C74B2E">
      <w:pPr>
        <w:jc w:val="both"/>
        <w:rPr>
          <w:i/>
          <w:noProof/>
          <w:lang w:eastAsia="en-GB"/>
        </w:rPr>
      </w:pPr>
      <w:r w:rsidRPr="00943E7F">
        <w:rPr>
          <w:noProof/>
          <w:lang w:eastAsia="en-GB"/>
        </w:rPr>
        <w:drawing>
          <wp:inline distT="0" distB="0" distL="0" distR="0" wp14:anchorId="674BDD13" wp14:editId="646CFFDC">
            <wp:extent cx="5731510" cy="1886098"/>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886098"/>
                    </a:xfrm>
                    <a:prstGeom prst="rect">
                      <a:avLst/>
                    </a:prstGeom>
                    <a:noFill/>
                    <a:ln>
                      <a:noFill/>
                    </a:ln>
                  </pic:spPr>
                </pic:pic>
              </a:graphicData>
            </a:graphic>
          </wp:inline>
        </w:drawing>
      </w:r>
    </w:p>
    <w:p w:rsidR="00714986" w:rsidRDefault="00714986" w:rsidP="00714986">
      <w:pPr>
        <w:jc w:val="both"/>
        <w:rPr>
          <w:noProof/>
          <w:lang w:eastAsia="en-GB"/>
        </w:rPr>
      </w:pPr>
    </w:p>
    <w:p w:rsidR="00714986" w:rsidRDefault="00714986" w:rsidP="00714986">
      <w:pPr>
        <w:jc w:val="both"/>
        <w:rPr>
          <w:noProof/>
          <w:lang w:eastAsia="en-GB"/>
        </w:rPr>
      </w:pPr>
    </w:p>
    <w:p w:rsidR="00714986" w:rsidRDefault="00714986" w:rsidP="00714986">
      <w:pPr>
        <w:jc w:val="both"/>
        <w:rPr>
          <w:noProof/>
          <w:lang w:eastAsia="en-GB"/>
        </w:rPr>
      </w:pPr>
    </w:p>
    <w:p w:rsidR="00714986" w:rsidRDefault="00714986" w:rsidP="00714986">
      <w:pPr>
        <w:jc w:val="both"/>
        <w:rPr>
          <w:noProof/>
          <w:lang w:eastAsia="en-GB"/>
        </w:rPr>
      </w:pPr>
    </w:p>
    <w:p w:rsidR="00714986" w:rsidRDefault="00714986" w:rsidP="00714986">
      <w:pPr>
        <w:jc w:val="both"/>
        <w:rPr>
          <w:noProof/>
          <w:lang w:eastAsia="en-GB"/>
        </w:rPr>
      </w:pPr>
    </w:p>
    <w:p w:rsidR="00365568" w:rsidRDefault="00365568" w:rsidP="00365568">
      <w:pPr>
        <w:rPr>
          <w:noProof/>
          <w:lang w:eastAsia="en-GB"/>
        </w:rPr>
      </w:pPr>
      <w:r w:rsidRPr="000E465F">
        <w:rPr>
          <w:noProof/>
          <w:lang w:eastAsia="en-GB"/>
        </w:rPr>
        <w:lastRenderedPageBreak/>
        <w:t>33% of the workforce in Cumbria is made up of Nursing staff. NWAS data covers all of the NW and therefore can’t be broken down to Cumbria</w:t>
      </w:r>
      <w:r>
        <w:rPr>
          <w:noProof/>
          <w:lang w:eastAsia="en-GB"/>
        </w:rPr>
        <w:t xml:space="preserve"> .</w:t>
      </w:r>
    </w:p>
    <w:p w:rsidR="00C74B2E" w:rsidRDefault="00C74B2E" w:rsidP="00365568">
      <w:r>
        <w:rPr>
          <w:noProof/>
          <w:lang w:eastAsia="en-GB"/>
        </w:rPr>
        <w:drawing>
          <wp:inline distT="0" distB="0" distL="0" distR="0" wp14:anchorId="44A09295" wp14:editId="5F243B0A">
            <wp:extent cx="5593278" cy="308758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5512" cy="3088818"/>
                    </a:xfrm>
                    <a:prstGeom prst="rect">
                      <a:avLst/>
                    </a:prstGeom>
                    <a:noFill/>
                  </pic:spPr>
                </pic:pic>
              </a:graphicData>
            </a:graphic>
          </wp:inline>
        </w:drawing>
      </w:r>
    </w:p>
    <w:p w:rsidR="00FF7EA6" w:rsidRDefault="00FF7EA6" w:rsidP="00C74B2E">
      <w:pPr>
        <w:jc w:val="both"/>
        <w:rPr>
          <w:i/>
        </w:rPr>
      </w:pPr>
    </w:p>
    <w:p w:rsidR="00C861F2" w:rsidRPr="001538D3" w:rsidRDefault="00C861F2" w:rsidP="00C861F2">
      <w:pPr>
        <w:jc w:val="both"/>
      </w:pPr>
      <w:r>
        <w:t xml:space="preserve">Bands 5 make up the largest proportion of staff with 31%. Non AfC accounts for 8% of staff which is 419 out of 8180 staff across the area. This figure does not include NWAS as this cannot be broken down to show the Cumbria split. </w:t>
      </w:r>
    </w:p>
    <w:p w:rsidR="00C74B2E" w:rsidRPr="00CD1151" w:rsidRDefault="00C74B2E" w:rsidP="00C74B2E">
      <w:pPr>
        <w:jc w:val="both"/>
      </w:pPr>
      <w:r>
        <w:rPr>
          <w:noProof/>
          <w:lang w:eastAsia="en-GB"/>
        </w:rPr>
        <w:drawing>
          <wp:inline distT="0" distB="0" distL="0" distR="0" wp14:anchorId="0BF9D177" wp14:editId="09E58C1D">
            <wp:extent cx="5593278" cy="2987216"/>
            <wp:effectExtent l="0" t="0" r="762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2164" cy="2986621"/>
                    </a:xfrm>
                    <a:prstGeom prst="rect">
                      <a:avLst/>
                    </a:prstGeom>
                    <a:noFill/>
                  </pic:spPr>
                </pic:pic>
              </a:graphicData>
            </a:graphic>
          </wp:inline>
        </w:drawing>
      </w:r>
    </w:p>
    <w:p w:rsidR="00714986" w:rsidRDefault="00714986" w:rsidP="00C74B2E">
      <w:pPr>
        <w:jc w:val="both"/>
      </w:pPr>
    </w:p>
    <w:p w:rsidR="00714986" w:rsidRDefault="00714986" w:rsidP="00C74B2E">
      <w:pPr>
        <w:jc w:val="both"/>
      </w:pPr>
    </w:p>
    <w:p w:rsidR="00714986" w:rsidRDefault="00714986" w:rsidP="00C74B2E">
      <w:pPr>
        <w:jc w:val="both"/>
      </w:pPr>
    </w:p>
    <w:p w:rsidR="00C74B2E" w:rsidRPr="00282B17" w:rsidRDefault="00C74B2E" w:rsidP="00C74B2E">
      <w:pPr>
        <w:jc w:val="both"/>
      </w:pPr>
      <w:r>
        <w:lastRenderedPageBreak/>
        <w:t>Table 3 shows the staff in post headcount breakdown by percentage.</w:t>
      </w:r>
    </w:p>
    <w:p w:rsidR="00C74B2E" w:rsidRDefault="00C74B2E" w:rsidP="00C74B2E">
      <w:pPr>
        <w:jc w:val="both"/>
        <w:rPr>
          <w:i/>
        </w:rPr>
      </w:pPr>
      <w:r>
        <w:rPr>
          <w:i/>
        </w:rPr>
        <w:t>Table 3</w:t>
      </w:r>
    </w:p>
    <w:p w:rsidR="00C74B2E" w:rsidRDefault="00C74B2E" w:rsidP="00C74B2E">
      <w:pPr>
        <w:jc w:val="both"/>
        <w:rPr>
          <w:i/>
        </w:rPr>
      </w:pPr>
      <w:r w:rsidRPr="00282B17">
        <w:rPr>
          <w:noProof/>
          <w:lang w:eastAsia="en-GB"/>
        </w:rPr>
        <w:drawing>
          <wp:inline distT="0" distB="0" distL="0" distR="0" wp14:anchorId="463CEBC2" wp14:editId="2A2D464C">
            <wp:extent cx="5731510" cy="2040812"/>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040812"/>
                    </a:xfrm>
                    <a:prstGeom prst="rect">
                      <a:avLst/>
                    </a:prstGeom>
                    <a:noFill/>
                    <a:ln>
                      <a:noFill/>
                    </a:ln>
                  </pic:spPr>
                </pic:pic>
              </a:graphicData>
            </a:graphic>
          </wp:inline>
        </w:drawing>
      </w:r>
    </w:p>
    <w:p w:rsidR="00B93CB6" w:rsidRDefault="00B93CB6" w:rsidP="00714986">
      <w:pPr>
        <w:spacing w:after="0"/>
      </w:pPr>
      <w:r>
        <w:t>The majority of staff are aged between 40 and 60 years (58%). 37% of staff are aged between 25 and 39. 5% of the workforce are over 60.</w:t>
      </w:r>
    </w:p>
    <w:p w:rsidR="00714986" w:rsidRDefault="00714986" w:rsidP="00714986">
      <w:pPr>
        <w:spacing w:after="0"/>
      </w:pPr>
    </w:p>
    <w:p w:rsidR="00C74B2E" w:rsidRDefault="00C74B2E" w:rsidP="00C74B2E">
      <w:pPr>
        <w:jc w:val="both"/>
      </w:pPr>
      <w:r>
        <w:rPr>
          <w:noProof/>
          <w:lang w:eastAsia="en-GB"/>
        </w:rPr>
        <w:drawing>
          <wp:inline distT="0" distB="0" distL="0" distR="0" wp14:anchorId="25EE9CC4" wp14:editId="4E00C5CC">
            <wp:extent cx="5545777" cy="309716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9187" cy="3093485"/>
                    </a:xfrm>
                    <a:prstGeom prst="rect">
                      <a:avLst/>
                    </a:prstGeom>
                    <a:noFill/>
                  </pic:spPr>
                </pic:pic>
              </a:graphicData>
            </a:graphic>
          </wp:inline>
        </w:drawing>
      </w:r>
    </w:p>
    <w:p w:rsidR="00233724" w:rsidRDefault="00C74B2E" w:rsidP="00C74B2E">
      <w:pPr>
        <w:jc w:val="both"/>
      </w:pPr>
      <w:r>
        <w:t xml:space="preserve">Table 4 </w:t>
      </w:r>
      <w:r w:rsidR="00233724">
        <w:t xml:space="preserve">calculates the average cost of each employee within Cumbria and NWAS based on the overall headcount for each Trust. As represented previous, Band 5 makes up the largest proportion of staff which reflects the average cost of £27,101. </w:t>
      </w:r>
    </w:p>
    <w:p w:rsidR="00C74B2E" w:rsidRPr="008724FC" w:rsidRDefault="00C74B2E" w:rsidP="00C74B2E">
      <w:pPr>
        <w:jc w:val="both"/>
        <w:rPr>
          <w:i/>
        </w:rPr>
      </w:pPr>
      <w:r>
        <w:rPr>
          <w:i/>
        </w:rPr>
        <w:t>Table 4</w:t>
      </w:r>
    </w:p>
    <w:p w:rsidR="00C74B2E" w:rsidRDefault="00C74B2E" w:rsidP="00C74B2E">
      <w:pPr>
        <w:jc w:val="both"/>
      </w:pPr>
      <w:r w:rsidRPr="008724FC">
        <w:rPr>
          <w:noProof/>
          <w:lang w:eastAsia="en-GB"/>
        </w:rPr>
        <w:drawing>
          <wp:inline distT="0" distB="0" distL="0" distR="0" wp14:anchorId="0EB0FE9A" wp14:editId="3724051B">
            <wp:extent cx="5060950" cy="95694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0950" cy="956945"/>
                    </a:xfrm>
                    <a:prstGeom prst="rect">
                      <a:avLst/>
                    </a:prstGeom>
                    <a:noFill/>
                    <a:ln>
                      <a:noFill/>
                    </a:ln>
                  </pic:spPr>
                </pic:pic>
              </a:graphicData>
            </a:graphic>
          </wp:inline>
        </w:drawing>
      </w:r>
    </w:p>
    <w:p w:rsidR="0019351B" w:rsidRDefault="0019351B">
      <w:pPr>
        <w:rPr>
          <w:b/>
          <w:u w:val="single"/>
        </w:rPr>
      </w:pPr>
      <w:r>
        <w:rPr>
          <w:b/>
          <w:u w:val="single"/>
        </w:rPr>
        <w:lastRenderedPageBreak/>
        <w:br w:type="page"/>
      </w:r>
    </w:p>
    <w:p w:rsidR="00256A9B" w:rsidRPr="00FF7EA6" w:rsidRDefault="00256A9B" w:rsidP="00FF7EA6">
      <w:pPr>
        <w:pStyle w:val="ListParagraph"/>
        <w:numPr>
          <w:ilvl w:val="0"/>
          <w:numId w:val="5"/>
        </w:numPr>
        <w:jc w:val="both"/>
        <w:rPr>
          <w:b/>
          <w:u w:val="single"/>
        </w:rPr>
      </w:pPr>
      <w:r w:rsidRPr="00FF7EA6">
        <w:rPr>
          <w:b/>
          <w:u w:val="single"/>
        </w:rPr>
        <w:lastRenderedPageBreak/>
        <w:t>Social Care Workforce</w:t>
      </w:r>
    </w:p>
    <w:p w:rsidR="0019351B" w:rsidRPr="0019351B" w:rsidRDefault="0019351B" w:rsidP="0019351B">
      <w:pPr>
        <w:jc w:val="both"/>
        <w:rPr>
          <w:color w:val="808080" w:themeColor="background1" w:themeShade="80"/>
        </w:rPr>
      </w:pPr>
      <w:r w:rsidRPr="0019351B">
        <w:rPr>
          <w:b/>
          <w:color w:val="808080" w:themeColor="background1" w:themeShade="80"/>
        </w:rPr>
        <w:t xml:space="preserve">Source: </w:t>
      </w:r>
      <w:r w:rsidRPr="0019351B">
        <w:rPr>
          <w:color w:val="808080" w:themeColor="background1" w:themeShade="80"/>
        </w:rPr>
        <w:t>Skills for Care publication, NMDS-SC</w:t>
      </w:r>
    </w:p>
    <w:p w:rsidR="0019351B" w:rsidRPr="0019351B" w:rsidRDefault="0019351B" w:rsidP="0019351B">
      <w:pPr>
        <w:jc w:val="both"/>
      </w:pPr>
      <w:r w:rsidRPr="0019351B">
        <w:rPr>
          <w:b/>
          <w:color w:val="808080" w:themeColor="background1" w:themeShade="80"/>
        </w:rPr>
        <w:t xml:space="preserve">Further Details: </w:t>
      </w:r>
      <w:hyperlink r:id="rId21" w:history="1">
        <w:r w:rsidRPr="0019351B">
          <w:rPr>
            <w:rStyle w:val="Hyperlink"/>
            <w:b/>
          </w:rPr>
          <w:t>Cumbria.pdf</w:t>
        </w:r>
      </w:hyperlink>
    </w:p>
    <w:p w:rsidR="00256A9B" w:rsidRPr="00256A9B" w:rsidRDefault="00256A9B" w:rsidP="0019351B">
      <w:pPr>
        <w:jc w:val="both"/>
        <w:rPr>
          <w:b/>
        </w:rPr>
      </w:pPr>
      <w:r w:rsidRPr="00256A9B">
        <w:rPr>
          <w:b/>
        </w:rPr>
        <w:t>Overview</w:t>
      </w:r>
    </w:p>
    <w:p w:rsidR="004C2C1F" w:rsidRDefault="00743AD9" w:rsidP="0019351B">
      <w:pPr>
        <w:jc w:val="both"/>
      </w:pPr>
      <w:r>
        <w:t>In Cumbria there are an estimated 19,500 jobs in adult social care. These are split between the statutory sector (3,100), the independent sector (13,600) and direct payment recipients (2,800).</w:t>
      </w:r>
    </w:p>
    <w:p w:rsidR="00743AD9" w:rsidRDefault="00743AD9" w:rsidP="0019351B">
      <w:pPr>
        <w:jc w:val="both"/>
      </w:pPr>
      <w:r>
        <w:t>Cumbria has an estimated population of 113,800 people over the age of 65. This number is predicted to increase to 126,100 people by 2020.</w:t>
      </w:r>
    </w:p>
    <w:p w:rsidR="00743AD9" w:rsidRDefault="00743AD9" w:rsidP="0019351B">
      <w:pPr>
        <w:jc w:val="both"/>
      </w:pPr>
      <w:r>
        <w:t>The Cumbria area contains 313 CQC registered services, as at July 2015, which is 8% of all those in the North West region (3,686). Of these, 184 are care homes with and without nursing.</w:t>
      </w:r>
    </w:p>
    <w:p w:rsidR="00743AD9" w:rsidRPr="00743AD9" w:rsidRDefault="00743AD9" w:rsidP="0019351B">
      <w:pPr>
        <w:jc w:val="both"/>
        <w:rPr>
          <w:b/>
        </w:rPr>
      </w:pPr>
      <w:r w:rsidRPr="00743AD9">
        <w:rPr>
          <w:b/>
        </w:rPr>
        <w:t>Staffing overview</w:t>
      </w:r>
    </w:p>
    <w:p w:rsidR="00743AD9" w:rsidRDefault="00743AD9" w:rsidP="0019351B">
      <w:pPr>
        <w:jc w:val="both"/>
      </w:pPr>
      <w:r>
        <w:t xml:space="preserve">As at July 2015, the NMDS-SC holds information on 9,600 staff working in adult social care in </w:t>
      </w:r>
      <w:r w:rsidRPr="00743AD9">
        <w:t>Cumbria. Across the whole sector in Cumbria, Skills for Care estimates that there are 15,000 direct care workers, 1,650 managerial and supervisory workers, 750 professionals and 2,100 jobs in other non-care providing roles in social care.</w:t>
      </w:r>
      <w:r>
        <w:t xml:space="preserve"> </w:t>
      </w:r>
    </w:p>
    <w:p w:rsidR="00840B52" w:rsidRDefault="00840B52" w:rsidP="0019351B">
      <w:pPr>
        <w:jc w:val="both"/>
      </w:pPr>
      <w:r>
        <w:rPr>
          <w:noProof/>
          <w:lang w:eastAsia="en-GB"/>
        </w:rPr>
        <w:drawing>
          <wp:inline distT="0" distB="0" distL="0" distR="0" wp14:anchorId="6CA9898E" wp14:editId="3F0EEF1E">
            <wp:extent cx="3959525" cy="2087592"/>
            <wp:effectExtent l="0" t="0" r="22225" b="273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43AD9" w:rsidRDefault="00743AD9" w:rsidP="0019351B">
      <w:pPr>
        <w:jc w:val="both"/>
      </w:pPr>
      <w:r>
        <w:t>Cumbria has an average full time equivalent job ratio of 0.76, meaning that on average 100 jobs equates to around 76 full time jobs. These estimates have been created based on 37 hours per week being classed as ‘full -time’.</w:t>
      </w:r>
    </w:p>
    <w:p w:rsidR="00443E2B" w:rsidRDefault="00743AD9" w:rsidP="0019351B">
      <w:pPr>
        <w:jc w:val="both"/>
      </w:pPr>
      <w:r>
        <w:t>The average number of sickness days taken in Cumbria was 7 in the last year, which is equal to the regional average of 7 days per year. Sickness is a large cost to the sector, with an estimated workforce of 19,500 this would mean Cumbria lost 136,200 days sickness in the last year.</w:t>
      </w:r>
      <w:r w:rsidR="00443E2B">
        <w:br w:type="page"/>
      </w:r>
    </w:p>
    <w:p w:rsidR="00AE0A4D" w:rsidRPr="00AE0A4D" w:rsidRDefault="00AE0A4D" w:rsidP="0019351B">
      <w:pPr>
        <w:jc w:val="both"/>
        <w:rPr>
          <w:b/>
        </w:rPr>
      </w:pPr>
      <w:r w:rsidRPr="00AE0A4D">
        <w:rPr>
          <w:b/>
        </w:rPr>
        <w:lastRenderedPageBreak/>
        <w:t>Recruitment and retention</w:t>
      </w:r>
    </w:p>
    <w:p w:rsidR="00840B52" w:rsidRDefault="00AE0A4D" w:rsidP="0019351B">
      <w:pPr>
        <w:jc w:val="both"/>
      </w:pPr>
      <w:r>
        <w:t>The NMDS-SC shows that Cumbria has an average staff turnover rate of 17.9%, as at July 2015. This is lower than the turnover rate for North West which is 22.4%. The turnover rate varies depending on job group. Direct care staff have the highest turnover rate (20.0%), followed by regulated professional staff (14.8%) and managerial staff (7.7%).</w:t>
      </w:r>
    </w:p>
    <w:p w:rsidR="00840B52" w:rsidRDefault="00840B52" w:rsidP="0019351B">
      <w:pPr>
        <w:jc w:val="both"/>
      </w:pPr>
      <w:r>
        <w:rPr>
          <w:noProof/>
          <w:lang w:eastAsia="en-GB"/>
        </w:rPr>
        <w:drawing>
          <wp:inline distT="0" distB="0" distL="0" distR="0" wp14:anchorId="3AF82658" wp14:editId="5CE3CCA4">
            <wp:extent cx="4546121" cy="2406770"/>
            <wp:effectExtent l="0" t="0" r="26035"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E0A4D" w:rsidRDefault="00AE0A4D" w:rsidP="0019351B">
      <w:pPr>
        <w:jc w:val="both"/>
      </w:pPr>
      <w:r>
        <w:t>Additionally, as at July 2015, Cumbria has a vacancy rate of rate of 2.1%.</w:t>
      </w:r>
    </w:p>
    <w:p w:rsidR="00743AD9" w:rsidRDefault="00AE0A4D" w:rsidP="0019351B">
      <w:pPr>
        <w:jc w:val="both"/>
      </w:pPr>
      <w:r>
        <w:t>Given an estimated 15,000 direct care jobs in Cumbria and a turnover rate of 20.0% this equates to around 3,000 positions being made vacant in the last 12 months. Managerial and supervisory roles had a turnover rate of 7.7% and an estimated 1,650 jobs, this equates to around 125 positions being made vacant. There are an estimated 750 regulated professional roles, and a turnover rate of 14.8%, this equates to around 100 positions being made vacant in the last 12 months.</w:t>
      </w:r>
    </w:p>
    <w:p w:rsidR="00AE0A4D" w:rsidRPr="00AE0A4D" w:rsidRDefault="00AE0A4D" w:rsidP="0019351B">
      <w:pPr>
        <w:jc w:val="both"/>
        <w:rPr>
          <w:b/>
        </w:rPr>
      </w:pPr>
      <w:r w:rsidRPr="00AE0A4D">
        <w:rPr>
          <w:b/>
        </w:rPr>
        <w:t>Demographics</w:t>
      </w:r>
    </w:p>
    <w:p w:rsidR="00840B52" w:rsidRDefault="00AE0A4D" w:rsidP="0019351B">
      <w:pPr>
        <w:jc w:val="both"/>
      </w:pPr>
      <w:r>
        <w:t xml:space="preserve">The majority of the </w:t>
      </w:r>
      <w:r w:rsidR="00256A9B">
        <w:t>workforce in Cumbria is</w:t>
      </w:r>
      <w:r w:rsidR="0051794D">
        <w:t xml:space="preserve"> aged between 45</w:t>
      </w:r>
      <w:r>
        <w:t xml:space="preserve"> to 54, with an average age of 43. Those aged 24 and under represent 12% of the wo</w:t>
      </w:r>
      <w:r w:rsidR="0051794D">
        <w:t>rkforce and those aged over 65 represent 3.5</w:t>
      </w:r>
      <w:r>
        <w:t>%. With an estimated workforce of 19,500, 2,200 jobs could be lost to retirement in the next 5 years.</w:t>
      </w:r>
    </w:p>
    <w:p w:rsidR="0051794D" w:rsidRDefault="0051794D" w:rsidP="00AE0A4D">
      <w:r w:rsidRPr="0051794D">
        <w:rPr>
          <w:noProof/>
          <w:lang w:eastAsia="en-GB"/>
        </w:rPr>
        <w:drawing>
          <wp:inline distT="0" distB="0" distL="0" distR="0" wp14:anchorId="2A2EA524" wp14:editId="5A822FB1">
            <wp:extent cx="4352381" cy="1390476"/>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352381" cy="1390476"/>
                    </a:xfrm>
                    <a:prstGeom prst="rect">
                      <a:avLst/>
                    </a:prstGeom>
                  </pic:spPr>
                </pic:pic>
              </a:graphicData>
            </a:graphic>
          </wp:inline>
        </w:drawing>
      </w:r>
    </w:p>
    <w:p w:rsidR="0051794D" w:rsidRDefault="0051794D" w:rsidP="00AE0A4D">
      <w:pPr>
        <w:rPr>
          <w:noProof/>
          <w:lang w:eastAsia="en-GB"/>
        </w:rPr>
      </w:pPr>
    </w:p>
    <w:p w:rsidR="0051794D" w:rsidRDefault="0051794D" w:rsidP="00AE0A4D">
      <w:pPr>
        <w:rPr>
          <w:noProof/>
          <w:lang w:eastAsia="en-GB"/>
        </w:rPr>
      </w:pPr>
    </w:p>
    <w:p w:rsidR="0051794D" w:rsidRDefault="0051794D" w:rsidP="00AE0A4D"/>
    <w:p w:rsidR="00AE0A4D" w:rsidRDefault="00AE0A4D" w:rsidP="00AE0A4D">
      <w:r>
        <w:lastRenderedPageBreak/>
        <w:t>The majority of the workforce are female (87%).</w:t>
      </w:r>
    </w:p>
    <w:p w:rsidR="0051794D" w:rsidRDefault="0051794D" w:rsidP="00AE0A4D"/>
    <w:p w:rsidR="0051794D" w:rsidRDefault="0051794D" w:rsidP="00AE0A4D">
      <w:r>
        <w:rPr>
          <w:noProof/>
          <w:lang w:eastAsia="en-GB"/>
        </w:rPr>
        <w:drawing>
          <wp:inline distT="0" distB="0" distL="0" distR="0" wp14:anchorId="4F6C7C6E" wp14:editId="0FEE6DB8">
            <wp:extent cx="3876675" cy="8191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876675" cy="819150"/>
                    </a:xfrm>
                    <a:prstGeom prst="rect">
                      <a:avLst/>
                    </a:prstGeom>
                  </pic:spPr>
                </pic:pic>
              </a:graphicData>
            </a:graphic>
          </wp:inline>
        </w:drawing>
      </w:r>
    </w:p>
    <w:p w:rsidR="00AE0A4D" w:rsidRDefault="00AE0A4D" w:rsidP="0019351B">
      <w:pPr>
        <w:jc w:val="both"/>
      </w:pPr>
      <w:r>
        <w:t>The ethnicit</w:t>
      </w:r>
      <w:r w:rsidR="0051794D">
        <w:t>y of workers is mainly white (92</w:t>
      </w:r>
      <w:r>
        <w:t>%), with the remainder being of black and other minority ethnic groups (3%). Across the North West as a whole, 92% are of white ethnicity and 8% are of black and other minority ethnic groups.</w:t>
      </w:r>
    </w:p>
    <w:p w:rsidR="0051794D" w:rsidRDefault="0051794D" w:rsidP="00AE0A4D">
      <w:r>
        <w:rPr>
          <w:noProof/>
          <w:lang w:eastAsia="en-GB"/>
        </w:rPr>
        <w:drawing>
          <wp:inline distT="0" distB="0" distL="0" distR="0" wp14:anchorId="48F3D295" wp14:editId="4CE27472">
            <wp:extent cx="4200525" cy="1190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200525" cy="1190625"/>
                    </a:xfrm>
                    <a:prstGeom prst="rect">
                      <a:avLst/>
                    </a:prstGeom>
                  </pic:spPr>
                </pic:pic>
              </a:graphicData>
            </a:graphic>
          </wp:inline>
        </w:drawing>
      </w:r>
    </w:p>
    <w:p w:rsidR="00256A9B" w:rsidRPr="00256A9B" w:rsidRDefault="00256A9B" w:rsidP="0019351B">
      <w:pPr>
        <w:jc w:val="both"/>
        <w:rPr>
          <w:b/>
        </w:rPr>
      </w:pPr>
      <w:r w:rsidRPr="00256A9B">
        <w:rPr>
          <w:b/>
        </w:rPr>
        <w:t>Pay</w:t>
      </w:r>
    </w:p>
    <w:p w:rsidR="00256A9B" w:rsidRDefault="00256A9B" w:rsidP="0019351B">
      <w:pPr>
        <w:jc w:val="both"/>
      </w:pPr>
      <w:r>
        <w:t>The average annual and hourly pay by job group for your area, and how these compare with the regional and national averages, is shown Table 1 below.</w:t>
      </w:r>
    </w:p>
    <w:p w:rsidR="0019351B" w:rsidRDefault="0019351B" w:rsidP="00AE0A4D">
      <w:r>
        <w:rPr>
          <w:noProof/>
          <w:lang w:eastAsia="en-GB"/>
        </w:rPr>
        <w:drawing>
          <wp:inline distT="0" distB="0" distL="0" distR="0" wp14:anchorId="269A1CD9" wp14:editId="015165BC">
            <wp:extent cx="5731510" cy="2309137"/>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31510" cy="2309137"/>
                    </a:xfrm>
                    <a:prstGeom prst="rect">
                      <a:avLst/>
                    </a:prstGeom>
                  </pic:spPr>
                </pic:pic>
              </a:graphicData>
            </a:graphic>
          </wp:inline>
        </w:drawing>
      </w:r>
    </w:p>
    <w:p w:rsidR="00256A9B" w:rsidRPr="00256A9B" w:rsidRDefault="00256A9B" w:rsidP="00256A9B">
      <w:pPr>
        <w:rPr>
          <w:b/>
        </w:rPr>
      </w:pPr>
      <w:r w:rsidRPr="00256A9B">
        <w:rPr>
          <w:b/>
        </w:rPr>
        <w:t>Qualifications</w:t>
      </w:r>
    </w:p>
    <w:p w:rsidR="00256A9B" w:rsidRDefault="00256A9B" w:rsidP="00256A9B">
      <w:r>
        <w:t xml:space="preserve">The NMDS-SC shows that 56% of the </w:t>
      </w:r>
      <w:r w:rsidR="00FF7EA6">
        <w:t>workforce in Cumbria holds</w:t>
      </w:r>
      <w:r>
        <w:t xml:space="preserve"> a relevant qualification in adult social care. This is lower than the average for the North West wherein 66% hold a qualification. Around 47% of direct care workers hold a level 2 or above social care qualification in Cumbria.</w:t>
      </w:r>
    </w:p>
    <w:p w:rsidR="00AE0A4D" w:rsidRDefault="00AE0A4D" w:rsidP="00443E2B">
      <w:pPr>
        <w:pStyle w:val="ListParagraph"/>
      </w:pPr>
    </w:p>
    <w:p w:rsidR="00AE0A4D" w:rsidRDefault="00AE0A4D" w:rsidP="0019351B"/>
    <w:p w:rsidR="00B22C12" w:rsidRDefault="00B22C12" w:rsidP="00B22C12"/>
    <w:p w:rsidR="00443E2B" w:rsidRDefault="000C673D" w:rsidP="00FF7EA6">
      <w:pPr>
        <w:pStyle w:val="ListParagraph"/>
        <w:numPr>
          <w:ilvl w:val="0"/>
          <w:numId w:val="5"/>
        </w:numPr>
        <w:rPr>
          <w:b/>
          <w:u w:val="single"/>
        </w:rPr>
      </w:pPr>
      <w:r w:rsidRPr="00FF7EA6">
        <w:rPr>
          <w:b/>
          <w:u w:val="single"/>
        </w:rPr>
        <w:lastRenderedPageBreak/>
        <w:t>Primary Care Workforce</w:t>
      </w:r>
    </w:p>
    <w:p w:rsidR="00FF7EA6" w:rsidRDefault="00FF7EA6" w:rsidP="00FF7EA6">
      <w:pPr>
        <w:pStyle w:val="ListParagraph"/>
        <w:rPr>
          <w:b/>
          <w:u w:val="single"/>
        </w:rPr>
      </w:pPr>
    </w:p>
    <w:p w:rsidR="00FF7EA6" w:rsidRPr="00FF7EA6" w:rsidRDefault="00FF7EA6" w:rsidP="00FF7EA6">
      <w:pPr>
        <w:jc w:val="both"/>
        <w:rPr>
          <w:color w:val="808080" w:themeColor="background1" w:themeShade="80"/>
        </w:rPr>
      </w:pPr>
      <w:r w:rsidRPr="00FF7EA6">
        <w:rPr>
          <w:b/>
          <w:color w:val="808080" w:themeColor="background1" w:themeShade="80"/>
        </w:rPr>
        <w:t xml:space="preserve">Source: </w:t>
      </w:r>
      <w:r w:rsidRPr="00FF7EA6">
        <w:rPr>
          <w:color w:val="808080" w:themeColor="background1" w:themeShade="80"/>
        </w:rPr>
        <w:t>Health and Social Care Information Centre (HSCIC</w:t>
      </w:r>
      <w:r>
        <w:rPr>
          <w:color w:val="808080" w:themeColor="background1" w:themeShade="80"/>
        </w:rPr>
        <w:t>)</w:t>
      </w:r>
    </w:p>
    <w:p w:rsidR="00940F4D" w:rsidRDefault="00414926" w:rsidP="00FF7EA6">
      <w:pPr>
        <w:jc w:val="both"/>
        <w:rPr>
          <w:b/>
          <w:color w:val="808080" w:themeColor="background1" w:themeShade="80"/>
        </w:rPr>
      </w:pPr>
      <w:hyperlink r:id="rId28" w:history="1">
        <w:r w:rsidR="00940F4D" w:rsidRPr="008B09ED">
          <w:rPr>
            <w:rStyle w:val="Hyperlink"/>
            <w:b/>
          </w:rPr>
          <w:t>http://www.hscic.gov.uk/catalogue/PUB16934</w:t>
        </w:r>
      </w:hyperlink>
    </w:p>
    <w:p w:rsidR="00940F4D" w:rsidRDefault="00940F4D" w:rsidP="00FF7EA6">
      <w:pPr>
        <w:jc w:val="both"/>
        <w:rPr>
          <w:b/>
          <w:color w:val="808080" w:themeColor="background1" w:themeShade="80"/>
        </w:rPr>
      </w:pPr>
      <w:r>
        <w:rPr>
          <w:b/>
          <w:color w:val="808080" w:themeColor="background1" w:themeShade="80"/>
        </w:rPr>
        <w:t>See “detailed tables.xls” file and “Anonymised Practice level and GP level Census data.zip” file</w:t>
      </w:r>
    </w:p>
    <w:p w:rsidR="00FF7EA6" w:rsidRPr="00FF7EA6" w:rsidRDefault="00FF7EA6" w:rsidP="00FF7EA6">
      <w:pPr>
        <w:jc w:val="both"/>
      </w:pPr>
      <w:r w:rsidRPr="00FF7EA6">
        <w:rPr>
          <w:b/>
        </w:rPr>
        <w:t>Overview</w:t>
      </w:r>
    </w:p>
    <w:p w:rsidR="005A1308" w:rsidRDefault="005A1308" w:rsidP="003430C8">
      <w:pPr>
        <w:spacing w:after="0"/>
      </w:pPr>
      <w:r>
        <w:t xml:space="preserve">GP data has been sourced from the Health and Social Care Information Centre </w:t>
      </w:r>
      <w:r w:rsidR="00C22691">
        <w:t xml:space="preserve">(HSCIC) </w:t>
      </w:r>
      <w:r>
        <w:t>as at September 2014.</w:t>
      </w:r>
      <w:r w:rsidR="00C22691">
        <w:t xml:space="preserve"> This is the</w:t>
      </w:r>
      <w:r w:rsidR="003430C8">
        <w:t xml:space="preserve"> primary</w:t>
      </w:r>
      <w:r w:rsidR="00C22691">
        <w:t xml:space="preserve"> source at present</w:t>
      </w:r>
      <w:r w:rsidR="003430C8">
        <w:t>,</w:t>
      </w:r>
      <w:r w:rsidR="00C22691">
        <w:t xml:space="preserve"> however HEN</w:t>
      </w:r>
      <w:r w:rsidR="003430C8">
        <w:t>W are in the process of launching a data collection tool that will link to the Primary Care Tool, and this will be available between Jan-Mar16.T</w:t>
      </w:r>
      <w:r>
        <w:t xml:space="preserve">he </w:t>
      </w:r>
      <w:r w:rsidR="00C22691">
        <w:t xml:space="preserve">HSCIC </w:t>
      </w:r>
      <w:r>
        <w:t>data is available at</w:t>
      </w:r>
      <w:r w:rsidR="003430C8">
        <w:t xml:space="preserve"> both</w:t>
      </w:r>
      <w:r>
        <w:t xml:space="preserve"> GP Level and Practice level</w:t>
      </w:r>
      <w:r w:rsidR="00C22691">
        <w:t>.</w:t>
      </w:r>
    </w:p>
    <w:p w:rsidR="003430C8" w:rsidRDefault="003430C8" w:rsidP="003430C8">
      <w:pPr>
        <w:spacing w:after="0"/>
      </w:pPr>
    </w:p>
    <w:p w:rsidR="005A1308" w:rsidRDefault="005A1308" w:rsidP="003430C8">
      <w:pPr>
        <w:spacing w:after="0"/>
      </w:pPr>
      <w:r>
        <w:t xml:space="preserve">GP Level - </w:t>
      </w:r>
      <w:r w:rsidR="00C22691">
        <w:t>t</w:t>
      </w:r>
      <w:r w:rsidRPr="005A1308">
        <w:t>his data is mapped to a CCG and therefore not available at practice level.</w:t>
      </w:r>
      <w:r w:rsidR="00C22691">
        <w:t xml:space="preserve"> Data can be extracted by the following:</w:t>
      </w:r>
    </w:p>
    <w:p w:rsidR="003430C8" w:rsidRPr="005A1308" w:rsidRDefault="003430C8" w:rsidP="003430C8">
      <w:pPr>
        <w:spacing w:after="0"/>
      </w:pPr>
    </w:p>
    <w:p w:rsidR="005A1308" w:rsidRPr="005A1308" w:rsidRDefault="005A1308" w:rsidP="003430C8">
      <w:pPr>
        <w:numPr>
          <w:ilvl w:val="0"/>
          <w:numId w:val="2"/>
        </w:numPr>
        <w:spacing w:after="0" w:line="240" w:lineRule="auto"/>
        <w:ind w:left="714" w:hanging="357"/>
      </w:pPr>
      <w:r w:rsidRPr="005A1308">
        <w:t>Staff group</w:t>
      </w:r>
    </w:p>
    <w:p w:rsidR="005A1308" w:rsidRPr="005A1308" w:rsidRDefault="005A1308" w:rsidP="003430C8">
      <w:pPr>
        <w:numPr>
          <w:ilvl w:val="0"/>
          <w:numId w:val="2"/>
        </w:numPr>
        <w:spacing w:after="0" w:line="240" w:lineRule="auto"/>
        <w:ind w:left="714" w:hanging="357"/>
      </w:pPr>
      <w:r w:rsidRPr="005A1308">
        <w:t>Job role</w:t>
      </w:r>
    </w:p>
    <w:p w:rsidR="005A1308" w:rsidRPr="005A1308" w:rsidRDefault="005A1308" w:rsidP="003430C8">
      <w:pPr>
        <w:numPr>
          <w:ilvl w:val="0"/>
          <w:numId w:val="2"/>
        </w:numPr>
        <w:spacing w:after="0" w:line="240" w:lineRule="auto"/>
        <w:ind w:left="714" w:hanging="357"/>
      </w:pPr>
      <w:r w:rsidRPr="005A1308">
        <w:t>Age (in years)</w:t>
      </w:r>
    </w:p>
    <w:p w:rsidR="005A1308" w:rsidRPr="005A1308" w:rsidRDefault="005A1308" w:rsidP="003430C8">
      <w:pPr>
        <w:numPr>
          <w:ilvl w:val="0"/>
          <w:numId w:val="2"/>
        </w:numPr>
        <w:spacing w:after="0" w:line="240" w:lineRule="auto"/>
        <w:ind w:left="714" w:hanging="357"/>
      </w:pPr>
      <w:r w:rsidRPr="005A1308">
        <w:t>Gender</w:t>
      </w:r>
    </w:p>
    <w:p w:rsidR="005A1308" w:rsidRPr="005A1308" w:rsidRDefault="005A1308" w:rsidP="003430C8">
      <w:pPr>
        <w:numPr>
          <w:ilvl w:val="0"/>
          <w:numId w:val="2"/>
        </w:numPr>
        <w:spacing w:after="0" w:line="240" w:lineRule="auto"/>
        <w:ind w:left="714" w:hanging="357"/>
      </w:pPr>
      <w:r w:rsidRPr="005A1308">
        <w:t>FTE</w:t>
      </w:r>
    </w:p>
    <w:p w:rsidR="003430C8" w:rsidRDefault="003430C8" w:rsidP="003430C8">
      <w:pPr>
        <w:spacing w:after="0"/>
      </w:pPr>
    </w:p>
    <w:p w:rsidR="005A1308" w:rsidRPr="005A1308" w:rsidRDefault="005A1308" w:rsidP="003430C8">
      <w:pPr>
        <w:spacing w:after="0"/>
      </w:pPr>
      <w:r w:rsidRPr="005A1308">
        <w:t>Practice Level</w:t>
      </w:r>
      <w:r>
        <w:t xml:space="preserve"> - </w:t>
      </w:r>
      <w:r w:rsidR="00C22691">
        <w:t>t</w:t>
      </w:r>
      <w:r w:rsidRPr="005A1308">
        <w:t>his data is mapped to an individual practice.</w:t>
      </w:r>
      <w:r w:rsidR="00C22691">
        <w:t xml:space="preserve"> Data can be extracted by the following:</w:t>
      </w:r>
    </w:p>
    <w:p w:rsidR="005A1308" w:rsidRPr="005A1308" w:rsidRDefault="005A1308" w:rsidP="003430C8">
      <w:pPr>
        <w:numPr>
          <w:ilvl w:val="0"/>
          <w:numId w:val="3"/>
        </w:numPr>
        <w:spacing w:after="0"/>
        <w:ind w:left="714" w:hanging="357"/>
      </w:pPr>
      <w:r w:rsidRPr="005A1308">
        <w:t>Number of patients by gender and age band</w:t>
      </w:r>
    </w:p>
    <w:p w:rsidR="005A1308" w:rsidRPr="005A1308" w:rsidRDefault="005A1308" w:rsidP="003430C8">
      <w:pPr>
        <w:numPr>
          <w:ilvl w:val="0"/>
          <w:numId w:val="3"/>
        </w:numPr>
        <w:spacing w:after="0"/>
        <w:ind w:left="714" w:hanging="357"/>
      </w:pPr>
      <w:r w:rsidRPr="005A1308">
        <w:t>Aggregated GP FTE by job role, gender and age band</w:t>
      </w:r>
    </w:p>
    <w:p w:rsidR="00C22691" w:rsidRDefault="00C22691" w:rsidP="003430C8">
      <w:pPr>
        <w:spacing w:after="0"/>
      </w:pPr>
    </w:p>
    <w:p w:rsidR="005A1308" w:rsidRDefault="005A1308" w:rsidP="003430C8">
      <w:pPr>
        <w:spacing w:after="0"/>
      </w:pPr>
      <w:r w:rsidRPr="005A1308">
        <w:t xml:space="preserve">Within the analysis file the HSCIC publish, varying information is provided at CCG level.  </w:t>
      </w:r>
      <w:r w:rsidR="00C22691">
        <w:t>HENW</w:t>
      </w:r>
      <w:r w:rsidRPr="005A1308">
        <w:t xml:space="preserve"> use elements of this data in </w:t>
      </w:r>
      <w:r w:rsidR="00C22691">
        <w:t>their</w:t>
      </w:r>
      <w:r w:rsidRPr="005A1308">
        <w:t xml:space="preserve"> CCG reports (e.g. GPs per head of population, benchmarking) and to triangulate data.</w:t>
      </w:r>
    </w:p>
    <w:p w:rsidR="003430C8" w:rsidRPr="005A1308" w:rsidRDefault="003430C8" w:rsidP="003430C8">
      <w:pPr>
        <w:spacing w:after="0"/>
      </w:pPr>
    </w:p>
    <w:p w:rsidR="005A1308" w:rsidRDefault="005A1308" w:rsidP="003430C8">
      <w:pPr>
        <w:spacing w:after="0"/>
      </w:pPr>
      <w:r w:rsidRPr="005A1308">
        <w:t xml:space="preserve">In addition to the job roles, age, gender and FTE information </w:t>
      </w:r>
      <w:r w:rsidR="00C22691">
        <w:t>HENW</w:t>
      </w:r>
      <w:r w:rsidRPr="005A1308">
        <w:t xml:space="preserve"> collect on behalf of the national collection, in the HENW collection</w:t>
      </w:r>
      <w:r w:rsidR="003430C8">
        <w:t>,</w:t>
      </w:r>
      <w:r w:rsidRPr="005A1308">
        <w:t xml:space="preserve"> </w:t>
      </w:r>
      <w:r w:rsidR="00C22691">
        <w:t>the following fields are also reported</w:t>
      </w:r>
      <w:r w:rsidRPr="005A1308">
        <w:t xml:space="preserve"> on:</w:t>
      </w:r>
    </w:p>
    <w:p w:rsidR="003430C8" w:rsidRPr="005A1308" w:rsidRDefault="003430C8" w:rsidP="003430C8">
      <w:pPr>
        <w:spacing w:after="0"/>
      </w:pPr>
    </w:p>
    <w:p w:rsidR="005A1308" w:rsidRPr="005A1308" w:rsidRDefault="005A1308" w:rsidP="003430C8">
      <w:pPr>
        <w:numPr>
          <w:ilvl w:val="0"/>
          <w:numId w:val="4"/>
        </w:numPr>
        <w:spacing w:after="0"/>
        <w:ind w:left="714" w:hanging="357"/>
      </w:pPr>
      <w:r w:rsidRPr="005A1308">
        <w:t xml:space="preserve">Ethnicity – providing a view of how representative of the local population </w:t>
      </w:r>
      <w:r w:rsidR="00C22691">
        <w:t>the</w:t>
      </w:r>
      <w:r w:rsidRPr="005A1308">
        <w:t xml:space="preserve"> workforce is</w:t>
      </w:r>
    </w:p>
    <w:p w:rsidR="005A1308" w:rsidRDefault="005A1308" w:rsidP="003430C8">
      <w:pPr>
        <w:numPr>
          <w:ilvl w:val="0"/>
          <w:numId w:val="4"/>
        </w:numPr>
        <w:spacing w:after="0"/>
        <w:ind w:left="714" w:hanging="357"/>
      </w:pPr>
      <w:r w:rsidRPr="005A1308">
        <w:t xml:space="preserve">Skill set – enabling </w:t>
      </w:r>
      <w:r w:rsidR="00C22691">
        <w:t>HENW</w:t>
      </w:r>
      <w:r w:rsidRPr="005A1308">
        <w:t xml:space="preserve"> to determine skill gaps, how funding (e.g. CPD) is contributing to upskilling </w:t>
      </w:r>
      <w:r w:rsidR="00C22691">
        <w:t xml:space="preserve">the </w:t>
      </w:r>
      <w:r w:rsidRPr="005A1308">
        <w:t>workforce, and to develop education frameworks taking into account current workforce competencies (e.g. we are looking over the next few months at the support roles within General Practice and we will be using the existing data to inform us what this part of the workforce is currently doing, to then inform a framework for development.)</w:t>
      </w:r>
    </w:p>
    <w:p w:rsidR="00C22691" w:rsidRPr="005A1308" w:rsidRDefault="00C22691" w:rsidP="003430C8">
      <w:pPr>
        <w:spacing w:after="0"/>
        <w:ind w:left="714"/>
      </w:pPr>
    </w:p>
    <w:p w:rsidR="005A1308" w:rsidRDefault="00C22691" w:rsidP="003430C8">
      <w:pPr>
        <w:spacing w:after="0"/>
      </w:pPr>
      <w:r>
        <w:t>HENW</w:t>
      </w:r>
      <w:r w:rsidR="005A1308" w:rsidRPr="005A1308">
        <w:t xml:space="preserve"> also collect, as do the national collection; vacancy and absence dat</w:t>
      </w:r>
      <w:r>
        <w:t>a.</w:t>
      </w:r>
    </w:p>
    <w:p w:rsidR="005A1308" w:rsidRDefault="005A1308" w:rsidP="005A1308"/>
    <w:p w:rsidR="005A1308" w:rsidRDefault="005A1308" w:rsidP="005A1308"/>
    <w:p w:rsidR="003430C8" w:rsidRDefault="003C2F01" w:rsidP="005A1308">
      <w:pPr>
        <w:rPr>
          <w:b/>
        </w:rPr>
      </w:pPr>
      <w:r>
        <w:rPr>
          <w:b/>
        </w:rPr>
        <w:lastRenderedPageBreak/>
        <w:t>Analysis</w:t>
      </w:r>
    </w:p>
    <w:p w:rsidR="003C2F01" w:rsidRPr="003C2F01" w:rsidRDefault="003C2F01" w:rsidP="005A1308">
      <w:r w:rsidRPr="003C2F01">
        <w:t>The below has been ex</w:t>
      </w:r>
      <w:r w:rsidR="001D1F31">
        <w:t>tracted using the GP level data for Cumbria CCG.</w:t>
      </w:r>
    </w:p>
    <w:p w:rsidR="009E5338" w:rsidRDefault="005C0C9B">
      <w:r>
        <w:t>There are approximately 4</w:t>
      </w:r>
      <w:r w:rsidR="005A1308">
        <w:t>2</w:t>
      </w:r>
      <w:r>
        <w:t xml:space="preserve">4 </w:t>
      </w:r>
      <w:r w:rsidR="009E5338">
        <w:t>GP practitioners across Cumbria</w:t>
      </w:r>
      <w:r w:rsidR="005A1308">
        <w:t xml:space="preserve"> which </w:t>
      </w:r>
      <w:r w:rsidR="003430C8">
        <w:t>makes</w:t>
      </w:r>
      <w:r w:rsidR="005A1308">
        <w:t xml:space="preserve"> up 7% of the total North West GPs (5,962). </w:t>
      </w:r>
      <w:r w:rsidR="003430C8">
        <w:t xml:space="preserve"> The gender split is ap</w:t>
      </w:r>
      <w:r w:rsidR="003C2F01">
        <w:t>proximately 50:50 with 211 male</w:t>
      </w:r>
      <w:r w:rsidR="003430C8">
        <w:t xml:space="preserve"> versus 213 female.</w:t>
      </w:r>
      <w:r w:rsidR="003C2F01">
        <w:t xml:space="preserve"> </w:t>
      </w:r>
    </w:p>
    <w:p w:rsidR="005C0C9B" w:rsidRDefault="005C0C9B">
      <w:r>
        <w:rPr>
          <w:noProof/>
          <w:lang w:eastAsia="en-GB"/>
        </w:rPr>
        <w:drawing>
          <wp:inline distT="0" distB="0" distL="0" distR="0" wp14:anchorId="2AB899EA" wp14:editId="06F57DD4">
            <wp:extent cx="5723906" cy="3170712"/>
            <wp:effectExtent l="0" t="0" r="10160"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63155" w:rsidRDefault="00B63155" w:rsidP="00B63155">
      <w:r>
        <w:t xml:space="preserve">Over 50% of the workforce is aged 45 and over </w:t>
      </w:r>
    </w:p>
    <w:p w:rsidR="005C0C9B" w:rsidRDefault="003C2F01">
      <w:r>
        <w:rPr>
          <w:noProof/>
          <w:lang w:eastAsia="en-GB"/>
        </w:rPr>
        <w:drawing>
          <wp:inline distT="0" distB="0" distL="0" distR="0" wp14:anchorId="12E8E880" wp14:editId="0C2C345B">
            <wp:extent cx="5723906" cy="3645724"/>
            <wp:effectExtent l="0" t="0" r="10160"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C0C9B" w:rsidRDefault="005C0C9B"/>
    <w:p w:rsidR="001D1F31" w:rsidRDefault="001D1F31">
      <w:r>
        <w:lastRenderedPageBreak/>
        <w:t>Of the total practitioners, an overall 16% have qualified outside the UK. 20% of these are from the EEA, and the rest of these are outside the EEA</w:t>
      </w:r>
    </w:p>
    <w:p w:rsidR="005C0C9B" w:rsidRDefault="001D1F31">
      <w:r>
        <w:rPr>
          <w:noProof/>
          <w:lang w:eastAsia="en-GB"/>
        </w:rPr>
        <w:drawing>
          <wp:inline distT="0" distB="0" distL="0" distR="0" wp14:anchorId="16E14B95" wp14:editId="5C1D5E05">
            <wp:extent cx="5617029" cy="3515096"/>
            <wp:effectExtent l="0" t="0" r="222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D1F31" w:rsidRDefault="001D1F31"/>
    <w:p w:rsidR="00300BBA" w:rsidRDefault="00300BBA">
      <w:r>
        <w:t>Admin and Clerical staff account for over 60% of the Practice staff workforce in Cumbria. In contrast Nursing staff only make up 1</w:t>
      </w:r>
      <w:r w:rsidR="001D1F31">
        <w:t>7</w:t>
      </w:r>
      <w:r>
        <w:t>% of the practice staff workforce.</w:t>
      </w:r>
    </w:p>
    <w:p w:rsidR="00443E2B" w:rsidRDefault="00300BBA">
      <w:r>
        <w:rPr>
          <w:noProof/>
          <w:lang w:eastAsia="en-GB"/>
        </w:rPr>
        <w:drawing>
          <wp:inline distT="0" distB="0" distL="0" distR="0" wp14:anchorId="6DACC190" wp14:editId="178AAE72">
            <wp:extent cx="5735782" cy="3538847"/>
            <wp:effectExtent l="0" t="0" r="17780" b="241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443E2B">
        <w:br w:type="page"/>
      </w:r>
    </w:p>
    <w:p w:rsidR="00443E2B" w:rsidRPr="00FF7EA6" w:rsidRDefault="00FF7EA6" w:rsidP="00FF7EA6">
      <w:pPr>
        <w:pStyle w:val="ListParagraph"/>
        <w:numPr>
          <w:ilvl w:val="0"/>
          <w:numId w:val="5"/>
        </w:numPr>
        <w:rPr>
          <w:b/>
        </w:rPr>
      </w:pPr>
      <w:r w:rsidRPr="00FF7EA6">
        <w:rPr>
          <w:b/>
        </w:rPr>
        <w:lastRenderedPageBreak/>
        <w:t>Education Data</w:t>
      </w:r>
    </w:p>
    <w:p w:rsidR="00443E2B" w:rsidRDefault="00443E2B" w:rsidP="00443E2B">
      <w:pPr>
        <w:pStyle w:val="ListParagraph"/>
      </w:pPr>
    </w:p>
    <w:p w:rsidR="003E3D56" w:rsidRDefault="003E3D56" w:rsidP="003E3D56">
      <w:pPr>
        <w:pStyle w:val="ListParagraph"/>
      </w:pPr>
      <w:r>
        <w:t xml:space="preserve">HENW can report on Commissioning and Recruitment data by HEI within the North West region. Student numbers are reported on by programme and cohort. Commissions and Output both take place at the North West level in order to meet the demand of the regional and National Workforce Plans. There is currently no facility to track the student journey through to ESR; therefore the output cannot be measured at Area team and Trust level. </w:t>
      </w:r>
    </w:p>
    <w:p w:rsidR="003E3D56" w:rsidRDefault="003E3D56" w:rsidP="00443E2B">
      <w:pPr>
        <w:pStyle w:val="ListParagraph"/>
      </w:pPr>
    </w:p>
    <w:sectPr w:rsidR="003E3D56" w:rsidSect="00F352FC">
      <w:footerReference w:type="default" r:id="rId3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E01" w:rsidRDefault="00507E01" w:rsidP="00793155">
      <w:pPr>
        <w:spacing w:after="0" w:line="240" w:lineRule="auto"/>
      </w:pPr>
      <w:r>
        <w:separator/>
      </w:r>
    </w:p>
  </w:endnote>
  <w:endnote w:type="continuationSeparator" w:id="0">
    <w:p w:rsidR="00507E01" w:rsidRDefault="00507E01" w:rsidP="0079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949457"/>
      <w:docPartObj>
        <w:docPartGallery w:val="Page Numbers (Bottom of Page)"/>
        <w:docPartUnique/>
      </w:docPartObj>
    </w:sdtPr>
    <w:sdtEndPr>
      <w:rPr>
        <w:noProof/>
      </w:rPr>
    </w:sdtEndPr>
    <w:sdtContent>
      <w:p w:rsidR="00793155" w:rsidRDefault="00793155">
        <w:pPr>
          <w:pStyle w:val="Footer"/>
          <w:jc w:val="center"/>
        </w:pPr>
        <w:r>
          <w:fldChar w:fldCharType="begin"/>
        </w:r>
        <w:r>
          <w:instrText xml:space="preserve"> PAGE   \* MERGEFORMAT </w:instrText>
        </w:r>
        <w:r>
          <w:fldChar w:fldCharType="separate"/>
        </w:r>
        <w:r w:rsidR="00414926">
          <w:rPr>
            <w:noProof/>
          </w:rPr>
          <w:t>1</w:t>
        </w:r>
        <w:r>
          <w:rPr>
            <w:noProof/>
          </w:rPr>
          <w:fldChar w:fldCharType="end"/>
        </w:r>
      </w:p>
    </w:sdtContent>
  </w:sdt>
  <w:p w:rsidR="00793155" w:rsidRDefault="00793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E01" w:rsidRDefault="00507E01" w:rsidP="00793155">
      <w:pPr>
        <w:spacing w:after="0" w:line="240" w:lineRule="auto"/>
      </w:pPr>
      <w:r>
        <w:separator/>
      </w:r>
    </w:p>
  </w:footnote>
  <w:footnote w:type="continuationSeparator" w:id="0">
    <w:p w:rsidR="00507E01" w:rsidRDefault="00507E01" w:rsidP="00793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692"/>
    <w:multiLevelType w:val="hybridMultilevel"/>
    <w:tmpl w:val="B4885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F271D0"/>
    <w:multiLevelType w:val="hybridMultilevel"/>
    <w:tmpl w:val="101C7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ECE01C1"/>
    <w:multiLevelType w:val="hybridMultilevel"/>
    <w:tmpl w:val="7CA425FA"/>
    <w:lvl w:ilvl="0" w:tplc="3E48D170">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432BDB"/>
    <w:multiLevelType w:val="hybridMultilevel"/>
    <w:tmpl w:val="395CE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1DD70AA"/>
    <w:multiLevelType w:val="hybridMultilevel"/>
    <w:tmpl w:val="FE245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25"/>
    <w:rsid w:val="000C673D"/>
    <w:rsid w:val="000D25FF"/>
    <w:rsid w:val="0019351B"/>
    <w:rsid w:val="001D1F31"/>
    <w:rsid w:val="00233724"/>
    <w:rsid w:val="00256A9B"/>
    <w:rsid w:val="00300BBA"/>
    <w:rsid w:val="00301A25"/>
    <w:rsid w:val="003430C8"/>
    <w:rsid w:val="00365568"/>
    <w:rsid w:val="003C2F01"/>
    <w:rsid w:val="003E3D56"/>
    <w:rsid w:val="00414926"/>
    <w:rsid w:val="00441355"/>
    <w:rsid w:val="00443E2B"/>
    <w:rsid w:val="0048361E"/>
    <w:rsid w:val="004C2C1F"/>
    <w:rsid w:val="004E30E2"/>
    <w:rsid w:val="00507E01"/>
    <w:rsid w:val="0051794D"/>
    <w:rsid w:val="00542D53"/>
    <w:rsid w:val="00577691"/>
    <w:rsid w:val="005A1308"/>
    <w:rsid w:val="005B63F4"/>
    <w:rsid w:val="005C0C9B"/>
    <w:rsid w:val="005C3C80"/>
    <w:rsid w:val="005D1639"/>
    <w:rsid w:val="00714986"/>
    <w:rsid w:val="00743AD9"/>
    <w:rsid w:val="00793155"/>
    <w:rsid w:val="00840B52"/>
    <w:rsid w:val="008B2B99"/>
    <w:rsid w:val="008F3ACE"/>
    <w:rsid w:val="00940F4D"/>
    <w:rsid w:val="00991998"/>
    <w:rsid w:val="009A6DD2"/>
    <w:rsid w:val="009E5338"/>
    <w:rsid w:val="00AE0A4D"/>
    <w:rsid w:val="00B12089"/>
    <w:rsid w:val="00B22C12"/>
    <w:rsid w:val="00B63155"/>
    <w:rsid w:val="00B93CB6"/>
    <w:rsid w:val="00C0505B"/>
    <w:rsid w:val="00C22691"/>
    <w:rsid w:val="00C74B2E"/>
    <w:rsid w:val="00C861F2"/>
    <w:rsid w:val="00F3352E"/>
    <w:rsid w:val="00F352FC"/>
    <w:rsid w:val="00F37213"/>
    <w:rsid w:val="00FF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E2B"/>
    <w:pPr>
      <w:ind w:left="720"/>
      <w:contextualSpacing/>
    </w:pPr>
  </w:style>
  <w:style w:type="paragraph" w:styleId="BalloonText">
    <w:name w:val="Balloon Text"/>
    <w:basedOn w:val="Normal"/>
    <w:link w:val="BalloonTextChar"/>
    <w:uiPriority w:val="99"/>
    <w:semiHidden/>
    <w:unhideWhenUsed/>
    <w:rsid w:val="005C3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C80"/>
    <w:rPr>
      <w:rFonts w:ascii="Tahoma" w:hAnsi="Tahoma" w:cs="Tahoma"/>
      <w:sz w:val="16"/>
      <w:szCs w:val="16"/>
    </w:rPr>
  </w:style>
  <w:style w:type="character" w:styleId="Hyperlink">
    <w:name w:val="Hyperlink"/>
    <w:basedOn w:val="DefaultParagraphFont"/>
    <w:uiPriority w:val="99"/>
    <w:unhideWhenUsed/>
    <w:rsid w:val="00F3352E"/>
    <w:rPr>
      <w:color w:val="0000FF" w:themeColor="hyperlink"/>
      <w:u w:val="single"/>
    </w:rPr>
  </w:style>
  <w:style w:type="table" w:styleId="TableGrid">
    <w:name w:val="Table Grid"/>
    <w:basedOn w:val="TableNormal"/>
    <w:uiPriority w:val="59"/>
    <w:rsid w:val="00FF7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52FC"/>
    <w:rPr>
      <w:sz w:val="16"/>
      <w:szCs w:val="16"/>
    </w:rPr>
  </w:style>
  <w:style w:type="paragraph" w:styleId="CommentText">
    <w:name w:val="annotation text"/>
    <w:basedOn w:val="Normal"/>
    <w:link w:val="CommentTextChar"/>
    <w:uiPriority w:val="99"/>
    <w:semiHidden/>
    <w:unhideWhenUsed/>
    <w:rsid w:val="00F352FC"/>
    <w:pPr>
      <w:spacing w:line="240" w:lineRule="auto"/>
    </w:pPr>
    <w:rPr>
      <w:sz w:val="20"/>
      <w:szCs w:val="20"/>
    </w:rPr>
  </w:style>
  <w:style w:type="character" w:customStyle="1" w:styleId="CommentTextChar">
    <w:name w:val="Comment Text Char"/>
    <w:basedOn w:val="DefaultParagraphFont"/>
    <w:link w:val="CommentText"/>
    <w:uiPriority w:val="99"/>
    <w:semiHidden/>
    <w:rsid w:val="00F352FC"/>
    <w:rPr>
      <w:sz w:val="20"/>
      <w:szCs w:val="20"/>
    </w:rPr>
  </w:style>
  <w:style w:type="paragraph" w:styleId="CommentSubject">
    <w:name w:val="annotation subject"/>
    <w:basedOn w:val="CommentText"/>
    <w:next w:val="CommentText"/>
    <w:link w:val="CommentSubjectChar"/>
    <w:uiPriority w:val="99"/>
    <w:semiHidden/>
    <w:unhideWhenUsed/>
    <w:rsid w:val="00F352FC"/>
    <w:rPr>
      <w:b/>
      <w:bCs/>
    </w:rPr>
  </w:style>
  <w:style w:type="character" w:customStyle="1" w:styleId="CommentSubjectChar">
    <w:name w:val="Comment Subject Char"/>
    <w:basedOn w:val="CommentTextChar"/>
    <w:link w:val="CommentSubject"/>
    <w:uiPriority w:val="99"/>
    <w:semiHidden/>
    <w:rsid w:val="00F352FC"/>
    <w:rPr>
      <w:b/>
      <w:bCs/>
      <w:sz w:val="20"/>
      <w:szCs w:val="20"/>
    </w:rPr>
  </w:style>
  <w:style w:type="character" w:styleId="FollowedHyperlink">
    <w:name w:val="FollowedHyperlink"/>
    <w:basedOn w:val="DefaultParagraphFont"/>
    <w:uiPriority w:val="99"/>
    <w:semiHidden/>
    <w:unhideWhenUsed/>
    <w:rsid w:val="00940F4D"/>
    <w:rPr>
      <w:color w:val="800080" w:themeColor="followedHyperlink"/>
      <w:u w:val="single"/>
    </w:rPr>
  </w:style>
  <w:style w:type="paragraph" w:styleId="Header">
    <w:name w:val="header"/>
    <w:basedOn w:val="Normal"/>
    <w:link w:val="HeaderChar"/>
    <w:uiPriority w:val="99"/>
    <w:unhideWhenUsed/>
    <w:rsid w:val="0079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55"/>
  </w:style>
  <w:style w:type="paragraph" w:styleId="Footer">
    <w:name w:val="footer"/>
    <w:basedOn w:val="Normal"/>
    <w:link w:val="FooterChar"/>
    <w:uiPriority w:val="99"/>
    <w:unhideWhenUsed/>
    <w:rsid w:val="0079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55"/>
  </w:style>
  <w:style w:type="paragraph" w:styleId="NoSpacing">
    <w:name w:val="No Spacing"/>
    <w:link w:val="NoSpacingChar"/>
    <w:uiPriority w:val="1"/>
    <w:qFormat/>
    <w:rsid w:val="0079315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93155"/>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E2B"/>
    <w:pPr>
      <w:ind w:left="720"/>
      <w:contextualSpacing/>
    </w:pPr>
  </w:style>
  <w:style w:type="paragraph" w:styleId="BalloonText">
    <w:name w:val="Balloon Text"/>
    <w:basedOn w:val="Normal"/>
    <w:link w:val="BalloonTextChar"/>
    <w:uiPriority w:val="99"/>
    <w:semiHidden/>
    <w:unhideWhenUsed/>
    <w:rsid w:val="005C3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C80"/>
    <w:rPr>
      <w:rFonts w:ascii="Tahoma" w:hAnsi="Tahoma" w:cs="Tahoma"/>
      <w:sz w:val="16"/>
      <w:szCs w:val="16"/>
    </w:rPr>
  </w:style>
  <w:style w:type="character" w:styleId="Hyperlink">
    <w:name w:val="Hyperlink"/>
    <w:basedOn w:val="DefaultParagraphFont"/>
    <w:uiPriority w:val="99"/>
    <w:unhideWhenUsed/>
    <w:rsid w:val="00F3352E"/>
    <w:rPr>
      <w:color w:val="0000FF" w:themeColor="hyperlink"/>
      <w:u w:val="single"/>
    </w:rPr>
  </w:style>
  <w:style w:type="table" w:styleId="TableGrid">
    <w:name w:val="Table Grid"/>
    <w:basedOn w:val="TableNormal"/>
    <w:uiPriority w:val="59"/>
    <w:rsid w:val="00FF7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52FC"/>
    <w:rPr>
      <w:sz w:val="16"/>
      <w:szCs w:val="16"/>
    </w:rPr>
  </w:style>
  <w:style w:type="paragraph" w:styleId="CommentText">
    <w:name w:val="annotation text"/>
    <w:basedOn w:val="Normal"/>
    <w:link w:val="CommentTextChar"/>
    <w:uiPriority w:val="99"/>
    <w:semiHidden/>
    <w:unhideWhenUsed/>
    <w:rsid w:val="00F352FC"/>
    <w:pPr>
      <w:spacing w:line="240" w:lineRule="auto"/>
    </w:pPr>
    <w:rPr>
      <w:sz w:val="20"/>
      <w:szCs w:val="20"/>
    </w:rPr>
  </w:style>
  <w:style w:type="character" w:customStyle="1" w:styleId="CommentTextChar">
    <w:name w:val="Comment Text Char"/>
    <w:basedOn w:val="DefaultParagraphFont"/>
    <w:link w:val="CommentText"/>
    <w:uiPriority w:val="99"/>
    <w:semiHidden/>
    <w:rsid w:val="00F352FC"/>
    <w:rPr>
      <w:sz w:val="20"/>
      <w:szCs w:val="20"/>
    </w:rPr>
  </w:style>
  <w:style w:type="paragraph" w:styleId="CommentSubject">
    <w:name w:val="annotation subject"/>
    <w:basedOn w:val="CommentText"/>
    <w:next w:val="CommentText"/>
    <w:link w:val="CommentSubjectChar"/>
    <w:uiPriority w:val="99"/>
    <w:semiHidden/>
    <w:unhideWhenUsed/>
    <w:rsid w:val="00F352FC"/>
    <w:rPr>
      <w:b/>
      <w:bCs/>
    </w:rPr>
  </w:style>
  <w:style w:type="character" w:customStyle="1" w:styleId="CommentSubjectChar">
    <w:name w:val="Comment Subject Char"/>
    <w:basedOn w:val="CommentTextChar"/>
    <w:link w:val="CommentSubject"/>
    <w:uiPriority w:val="99"/>
    <w:semiHidden/>
    <w:rsid w:val="00F352FC"/>
    <w:rPr>
      <w:b/>
      <w:bCs/>
      <w:sz w:val="20"/>
      <w:szCs w:val="20"/>
    </w:rPr>
  </w:style>
  <w:style w:type="character" w:styleId="FollowedHyperlink">
    <w:name w:val="FollowedHyperlink"/>
    <w:basedOn w:val="DefaultParagraphFont"/>
    <w:uiPriority w:val="99"/>
    <w:semiHidden/>
    <w:unhideWhenUsed/>
    <w:rsid w:val="00940F4D"/>
    <w:rPr>
      <w:color w:val="800080" w:themeColor="followedHyperlink"/>
      <w:u w:val="single"/>
    </w:rPr>
  </w:style>
  <w:style w:type="paragraph" w:styleId="Header">
    <w:name w:val="header"/>
    <w:basedOn w:val="Normal"/>
    <w:link w:val="HeaderChar"/>
    <w:uiPriority w:val="99"/>
    <w:unhideWhenUsed/>
    <w:rsid w:val="0079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55"/>
  </w:style>
  <w:style w:type="paragraph" w:styleId="Footer">
    <w:name w:val="footer"/>
    <w:basedOn w:val="Normal"/>
    <w:link w:val="FooterChar"/>
    <w:uiPriority w:val="99"/>
    <w:unhideWhenUsed/>
    <w:rsid w:val="0079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55"/>
  </w:style>
  <w:style w:type="paragraph" w:styleId="NoSpacing">
    <w:name w:val="No Spacing"/>
    <w:link w:val="NoSpacingChar"/>
    <w:uiPriority w:val="1"/>
    <w:qFormat/>
    <w:rsid w:val="0079315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9315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4681">
      <w:bodyDiv w:val="1"/>
      <w:marLeft w:val="0"/>
      <w:marRight w:val="0"/>
      <w:marTop w:val="0"/>
      <w:marBottom w:val="0"/>
      <w:divBdr>
        <w:top w:val="none" w:sz="0" w:space="0" w:color="auto"/>
        <w:left w:val="none" w:sz="0" w:space="0" w:color="auto"/>
        <w:bottom w:val="none" w:sz="0" w:space="0" w:color="auto"/>
        <w:right w:val="none" w:sz="0" w:space="0" w:color="auto"/>
      </w:divBdr>
    </w:div>
    <w:div w:id="12918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Nw-fs01\wdc\New_G_Drive\Workforce%20&amp;%20Education%20Directorate\Workforce%20Strategy%20&amp;%20Modernisation%20Team\Workforce\Workforce%20Plan%202015\Success%20Regime%20Intelligence\HealthProfile2015Cumbria16.pdf" TargetMode="External"/><Relationship Id="rId13" Type="http://schemas.openxmlformats.org/officeDocument/2006/relationships/hyperlink" Target="http://www.hscic.gov.uk/searchcatalogue?productid=19283&amp;returnid=1907" TargetMode="External"/><Relationship Id="rId18" Type="http://schemas.openxmlformats.org/officeDocument/2006/relationships/image" Target="media/image9.emf"/><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hyperlink" Target="file:///\\Nw-fs01\wdc\New_G_Drive\Workforce%20&amp;%20Education%20Directorate\Workforce%20Strategy%20&amp;%20Modernisation%20Team\Workforce\Workforce%20Plan%202015\Success%20Regime%20Intelligence\Cumbria.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chart" Target="charts/chart2.xml"/><Relationship Id="rId28" Type="http://schemas.openxmlformats.org/officeDocument/2006/relationships/hyperlink" Target="http://www.hscic.gov.uk/catalogue/PUB16934"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chart" Target="charts/chart1.xml"/><Relationship Id="rId27" Type="http://schemas.openxmlformats.org/officeDocument/2006/relationships/image" Target="media/image15.png"/><Relationship Id="rId30" Type="http://schemas.openxmlformats.org/officeDocument/2006/relationships/chart" Target="charts/chart4.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w-fs01\wdc\New_G_Drive\Workforce%20&amp;%20Education%20Directorate\Workforce%20Strategy%20&amp;%20Modernisation%20Team\Workforce\Workforce%20Plan%202015\Success%20Regime%20Intelligence\GP\Cumbria%20tabl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w-fs01\wdc\New_G_Drive\Workforce%20&amp;%20Education%20Directorate\Workforce%20Strategy%20&amp;%20Modernisation%20Team\Workforce\Workforce%20Plan%202015\Success%20Regime%20Intelligence\GP\Cumbria%20tabl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w-fs01\wdc\New_G_Drive\Workforce%20&amp;%20Education%20Directorate\Workforce%20Strategy%20&amp;%20Modernisation%20Team\Workforce\Workforce%20Plan%202015\Success%20Regime%20Intelligence\GP\Workings%20-%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w-fs01\wdc\New_G_Drive\Workforce%20&amp;%20Education%20Directorate\Workforce%20Strategy%20&amp;%20Modernisation%20Team\Workforce\Workforce%20Plan%202015\Success%20Regime%20Intelligence\GP\Workings%20-%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Cumbria Social Care staff - 2015</a:t>
            </a:r>
          </a:p>
        </c:rich>
      </c:tx>
      <c:overlay val="0"/>
    </c:title>
    <c:autoTitleDeleted val="0"/>
    <c:plotArea>
      <c:layout>
        <c:manualLayout>
          <c:layoutTarget val="inner"/>
          <c:xMode val="edge"/>
          <c:yMode val="edge"/>
          <c:x val="8.2457798038403099E-2"/>
          <c:y val="0.22823175059110309"/>
          <c:w val="0.85137678842776232"/>
          <c:h val="0.636963409585799"/>
        </c:manualLayout>
      </c:layout>
      <c:barChart>
        <c:barDir val="col"/>
        <c:grouping val="clustered"/>
        <c:varyColors val="0"/>
        <c:ser>
          <c:idx val="0"/>
          <c:order val="0"/>
          <c:tx>
            <c:strRef>
              <c:f>Sheet1!$B$3</c:f>
              <c:strCache>
                <c:ptCount val="1"/>
                <c:pt idx="0">
                  <c:v>Headcount</c:v>
                </c:pt>
              </c:strCache>
            </c:strRef>
          </c:tx>
          <c:spPr>
            <a:solidFill>
              <a:schemeClr val="accent2"/>
            </a:solidFill>
          </c:spPr>
          <c:invertIfNegative val="0"/>
          <c:dPt>
            <c:idx val="1"/>
            <c:invertIfNegative val="0"/>
            <c:bubble3D val="0"/>
            <c:spPr>
              <a:solidFill>
                <a:schemeClr val="accent1"/>
              </a:solidFill>
            </c:spPr>
          </c:dPt>
          <c:dPt>
            <c:idx val="2"/>
            <c:invertIfNegative val="0"/>
            <c:bubble3D val="0"/>
            <c:spPr>
              <a:solidFill>
                <a:schemeClr val="accent3"/>
              </a:solidFill>
            </c:spPr>
          </c:dPt>
          <c:dPt>
            <c:idx val="3"/>
            <c:invertIfNegative val="0"/>
            <c:bubble3D val="0"/>
            <c:spPr>
              <a:solidFill>
                <a:schemeClr val="accent6"/>
              </a:solidFill>
            </c:spPr>
          </c:dPt>
          <c:dLbls>
            <c:txPr>
              <a:bodyPr/>
              <a:lstStyle/>
              <a:p>
                <a:pPr>
                  <a:defRPr b="1"/>
                </a:pPr>
                <a:endParaRPr lang="en-US"/>
              </a:p>
            </c:txPr>
            <c:showLegendKey val="0"/>
            <c:showVal val="1"/>
            <c:showCatName val="0"/>
            <c:showSerName val="0"/>
            <c:showPercent val="0"/>
            <c:showBubbleSize val="0"/>
            <c:showLeaderLines val="0"/>
          </c:dLbls>
          <c:cat>
            <c:strRef>
              <c:f>Sheet1!$A$4:$A$7</c:f>
              <c:strCache>
                <c:ptCount val="4"/>
                <c:pt idx="0">
                  <c:v>Direct Care Workers</c:v>
                </c:pt>
                <c:pt idx="1">
                  <c:v>Managerial and supervisory workers</c:v>
                </c:pt>
                <c:pt idx="2">
                  <c:v>Professionals</c:v>
                </c:pt>
                <c:pt idx="3">
                  <c:v>Non care roles</c:v>
                </c:pt>
              </c:strCache>
            </c:strRef>
          </c:cat>
          <c:val>
            <c:numRef>
              <c:f>Sheet1!$B$4:$B$7</c:f>
              <c:numCache>
                <c:formatCode>General</c:formatCode>
                <c:ptCount val="4"/>
                <c:pt idx="0">
                  <c:v>15000</c:v>
                </c:pt>
                <c:pt idx="1">
                  <c:v>1560</c:v>
                </c:pt>
                <c:pt idx="2">
                  <c:v>750</c:v>
                </c:pt>
                <c:pt idx="3" formatCode="#,##0">
                  <c:v>2100</c:v>
                </c:pt>
              </c:numCache>
            </c:numRef>
          </c:val>
        </c:ser>
        <c:dLbls>
          <c:showLegendKey val="0"/>
          <c:showVal val="0"/>
          <c:showCatName val="0"/>
          <c:showSerName val="0"/>
          <c:showPercent val="0"/>
          <c:showBubbleSize val="0"/>
        </c:dLbls>
        <c:gapWidth val="150"/>
        <c:axId val="75488256"/>
        <c:axId val="50688768"/>
      </c:barChart>
      <c:catAx>
        <c:axId val="75488256"/>
        <c:scaling>
          <c:orientation val="minMax"/>
        </c:scaling>
        <c:delete val="0"/>
        <c:axPos val="b"/>
        <c:majorTickMark val="out"/>
        <c:minorTickMark val="none"/>
        <c:tickLblPos val="nextTo"/>
        <c:crossAx val="50688768"/>
        <c:crosses val="autoZero"/>
        <c:auto val="1"/>
        <c:lblAlgn val="ctr"/>
        <c:lblOffset val="100"/>
        <c:noMultiLvlLbl val="0"/>
      </c:catAx>
      <c:valAx>
        <c:axId val="50688768"/>
        <c:scaling>
          <c:orientation val="minMax"/>
        </c:scaling>
        <c:delete val="0"/>
        <c:axPos val="l"/>
        <c:majorGridlines/>
        <c:numFmt formatCode="General" sourceLinked="1"/>
        <c:majorTickMark val="out"/>
        <c:minorTickMark val="none"/>
        <c:tickLblPos val="nextTo"/>
        <c:crossAx val="754882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Cumbria Social Care staff</a:t>
            </a:r>
            <a:r>
              <a:rPr lang="en-GB" sz="1200" baseline="0"/>
              <a:t> turnover </a:t>
            </a:r>
            <a:r>
              <a:rPr lang="en-GB" sz="1200"/>
              <a:t>- 2015</a:t>
            </a:r>
          </a:p>
        </c:rich>
      </c:tx>
      <c:overlay val="0"/>
    </c:title>
    <c:autoTitleDeleted val="0"/>
    <c:plotArea>
      <c:layout>
        <c:manualLayout>
          <c:layoutTarget val="inner"/>
          <c:xMode val="edge"/>
          <c:yMode val="edge"/>
          <c:x val="8.2457798038403099E-2"/>
          <c:y val="0.22823175059110309"/>
          <c:w val="0.85137678842776232"/>
          <c:h val="0.636963409585799"/>
        </c:manualLayout>
      </c:layout>
      <c:barChart>
        <c:barDir val="col"/>
        <c:grouping val="clustered"/>
        <c:varyColors val="0"/>
        <c:ser>
          <c:idx val="0"/>
          <c:order val="0"/>
          <c:tx>
            <c:strRef>
              <c:f>Sheet1!$B$3</c:f>
              <c:strCache>
                <c:ptCount val="1"/>
                <c:pt idx="0">
                  <c:v>Headcount</c:v>
                </c:pt>
              </c:strCache>
            </c:strRef>
          </c:tx>
          <c:spPr>
            <a:solidFill>
              <a:schemeClr val="accent2"/>
            </a:solidFill>
          </c:spPr>
          <c:invertIfNegative val="0"/>
          <c:dPt>
            <c:idx val="1"/>
            <c:invertIfNegative val="0"/>
            <c:bubble3D val="0"/>
            <c:spPr>
              <a:solidFill>
                <a:schemeClr val="accent1"/>
              </a:solidFill>
            </c:spPr>
          </c:dPt>
          <c:dPt>
            <c:idx val="2"/>
            <c:invertIfNegative val="0"/>
            <c:bubble3D val="0"/>
            <c:spPr>
              <a:solidFill>
                <a:schemeClr val="accent3"/>
              </a:solidFill>
            </c:spPr>
          </c:dPt>
          <c:dLbls>
            <c:txPr>
              <a:bodyPr/>
              <a:lstStyle/>
              <a:p>
                <a:pPr>
                  <a:defRPr b="1"/>
                </a:pPr>
                <a:endParaRPr lang="en-US"/>
              </a:p>
            </c:txPr>
            <c:showLegendKey val="0"/>
            <c:showVal val="1"/>
            <c:showCatName val="0"/>
            <c:showSerName val="0"/>
            <c:showPercent val="0"/>
            <c:showBubbleSize val="0"/>
            <c:showLeaderLines val="0"/>
          </c:dLbls>
          <c:cat>
            <c:strRef>
              <c:f>Sheet1!$A$26:$A$28</c:f>
              <c:strCache>
                <c:ptCount val="3"/>
                <c:pt idx="0">
                  <c:v>Direct Care staff</c:v>
                </c:pt>
                <c:pt idx="1">
                  <c:v>Regulated Professional staff</c:v>
                </c:pt>
                <c:pt idx="2">
                  <c:v>Managerial staff</c:v>
                </c:pt>
              </c:strCache>
            </c:strRef>
          </c:cat>
          <c:val>
            <c:numRef>
              <c:f>Sheet1!$B$26:$B$28</c:f>
              <c:numCache>
                <c:formatCode>0.00%</c:formatCode>
                <c:ptCount val="3"/>
                <c:pt idx="0" formatCode="0%">
                  <c:v>0.2</c:v>
                </c:pt>
                <c:pt idx="1">
                  <c:v>0.14799999999999999</c:v>
                </c:pt>
                <c:pt idx="2">
                  <c:v>7.6999999999999999E-2</c:v>
                </c:pt>
              </c:numCache>
            </c:numRef>
          </c:val>
        </c:ser>
        <c:dLbls>
          <c:showLegendKey val="0"/>
          <c:showVal val="0"/>
          <c:showCatName val="0"/>
          <c:showSerName val="0"/>
          <c:showPercent val="0"/>
          <c:showBubbleSize val="0"/>
        </c:dLbls>
        <c:gapWidth val="150"/>
        <c:axId val="50722304"/>
        <c:axId val="50723840"/>
      </c:barChart>
      <c:catAx>
        <c:axId val="50722304"/>
        <c:scaling>
          <c:orientation val="minMax"/>
        </c:scaling>
        <c:delete val="0"/>
        <c:axPos val="b"/>
        <c:majorTickMark val="out"/>
        <c:minorTickMark val="none"/>
        <c:tickLblPos val="nextTo"/>
        <c:crossAx val="50723840"/>
        <c:crosses val="autoZero"/>
        <c:auto val="1"/>
        <c:lblAlgn val="ctr"/>
        <c:lblOffset val="100"/>
        <c:noMultiLvlLbl val="0"/>
      </c:catAx>
      <c:valAx>
        <c:axId val="50723840"/>
        <c:scaling>
          <c:orientation val="minMax"/>
        </c:scaling>
        <c:delete val="0"/>
        <c:axPos val="l"/>
        <c:majorGridlines/>
        <c:numFmt formatCode="0%" sourceLinked="1"/>
        <c:majorTickMark val="out"/>
        <c:minorTickMark val="none"/>
        <c:tickLblPos val="nextTo"/>
        <c:crossAx val="507223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Gender Split - All GP Practitioners</a:t>
            </a:r>
            <a:r>
              <a:rPr lang="en-GB" baseline="0"/>
              <a:t> </a:t>
            </a:r>
            <a:endParaRPr lang="en-GB"/>
          </a:p>
        </c:rich>
      </c:tx>
      <c:overlay val="0"/>
    </c:title>
    <c:autoTitleDeleted val="0"/>
    <c:plotArea>
      <c:layout/>
      <c:barChart>
        <c:barDir val="col"/>
        <c:grouping val="clustered"/>
        <c:varyColors val="0"/>
        <c:ser>
          <c:idx val="0"/>
          <c:order val="0"/>
          <c:invertIfNegative val="0"/>
          <c:cat>
            <c:strRef>
              <c:f>Sheet1!$D$3:$E$3</c:f>
              <c:strCache>
                <c:ptCount val="2"/>
                <c:pt idx="0">
                  <c:v>Male</c:v>
                </c:pt>
                <c:pt idx="1">
                  <c:v>Female</c:v>
                </c:pt>
              </c:strCache>
            </c:strRef>
          </c:cat>
          <c:val>
            <c:numRef>
              <c:f>Sheet1!$D$4:$E$4</c:f>
              <c:numCache>
                <c:formatCode>#,##0</c:formatCode>
                <c:ptCount val="2"/>
                <c:pt idx="0">
                  <c:v>211</c:v>
                </c:pt>
                <c:pt idx="1">
                  <c:v>213</c:v>
                </c:pt>
              </c:numCache>
            </c:numRef>
          </c:val>
        </c:ser>
        <c:dLbls>
          <c:showLegendKey val="0"/>
          <c:showVal val="0"/>
          <c:showCatName val="0"/>
          <c:showSerName val="0"/>
          <c:showPercent val="0"/>
          <c:showBubbleSize val="0"/>
        </c:dLbls>
        <c:gapWidth val="150"/>
        <c:axId val="75433088"/>
        <c:axId val="75434624"/>
      </c:barChart>
      <c:catAx>
        <c:axId val="75433088"/>
        <c:scaling>
          <c:orientation val="minMax"/>
        </c:scaling>
        <c:delete val="0"/>
        <c:axPos val="b"/>
        <c:majorTickMark val="none"/>
        <c:minorTickMark val="none"/>
        <c:tickLblPos val="nextTo"/>
        <c:crossAx val="75434624"/>
        <c:crosses val="autoZero"/>
        <c:auto val="1"/>
        <c:lblAlgn val="ctr"/>
        <c:lblOffset val="100"/>
        <c:noMultiLvlLbl val="0"/>
      </c:catAx>
      <c:valAx>
        <c:axId val="75434624"/>
        <c:scaling>
          <c:orientation val="minMax"/>
        </c:scaling>
        <c:delete val="0"/>
        <c:axPos val="l"/>
        <c:majorGridlines/>
        <c:title>
          <c:tx>
            <c:rich>
              <a:bodyPr rot="-5400000" vert="horz"/>
              <a:lstStyle/>
              <a:p>
                <a:pPr>
                  <a:defRPr b="1"/>
                </a:pPr>
                <a:r>
                  <a:rPr lang="en-US" b="1"/>
                  <a:t>Headcount</a:t>
                </a:r>
              </a:p>
            </c:rich>
          </c:tx>
          <c:overlay val="0"/>
        </c:title>
        <c:numFmt formatCode="#,##0" sourceLinked="1"/>
        <c:majorTickMark val="none"/>
        <c:minorTickMark val="none"/>
        <c:tickLblPos val="nextTo"/>
        <c:crossAx val="754330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Age</a:t>
            </a:r>
            <a:r>
              <a:rPr lang="en-GB" baseline="0"/>
              <a:t> profile of GP Practitioners</a:t>
            </a:r>
            <a:endParaRPr lang="en-GB"/>
          </a:p>
        </c:rich>
      </c:tx>
      <c:overlay val="0"/>
    </c:title>
    <c:autoTitleDeleted val="0"/>
    <c:plotArea>
      <c:layout>
        <c:manualLayout>
          <c:layoutTarget val="inner"/>
          <c:xMode val="edge"/>
          <c:yMode val="edge"/>
          <c:x val="0.20132214918107369"/>
          <c:y val="0.22095468817906203"/>
          <c:w val="0.48587248140212064"/>
          <c:h val="0.71950913918585979"/>
        </c:manualLayout>
      </c:layout>
      <c:pieChart>
        <c:varyColors val="1"/>
        <c:ser>
          <c:idx val="0"/>
          <c:order val="0"/>
          <c:dLbls>
            <c:dLbl>
              <c:idx val="0"/>
              <c:tx>
                <c:rich>
                  <a:bodyPr/>
                  <a:lstStyle/>
                  <a:p>
                    <a:r>
                      <a:rPr lang="en-US"/>
                      <a:t>1.3 %</a:t>
                    </a:r>
                  </a:p>
                </c:rich>
              </c:tx>
              <c:showLegendKey val="0"/>
              <c:showVal val="0"/>
              <c:showCatName val="0"/>
              <c:showSerName val="0"/>
              <c:showPercent val="1"/>
              <c:showBubbleSize val="0"/>
            </c:dLbl>
            <c:dLbl>
              <c:idx val="1"/>
              <c:tx>
                <c:rich>
                  <a:bodyPr/>
                  <a:lstStyle/>
                  <a:p>
                    <a:r>
                      <a:rPr lang="en-US"/>
                      <a:t>9.6 %</a:t>
                    </a:r>
                  </a:p>
                </c:rich>
              </c:tx>
              <c:showLegendKey val="0"/>
              <c:showVal val="0"/>
              <c:showCatName val="0"/>
              <c:showSerName val="0"/>
              <c:showPercent val="1"/>
              <c:showBubbleSize val="0"/>
            </c:dLbl>
            <c:dLbl>
              <c:idx val="2"/>
              <c:tx>
                <c:rich>
                  <a:bodyPr/>
                  <a:lstStyle/>
                  <a:p>
                    <a:r>
                      <a:rPr lang="en-US"/>
                      <a:t>17.9 %</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Sheet1!$D$7:$N$7</c:f>
              <c:strCache>
                <c:ptCount val="11"/>
                <c:pt idx="0">
                  <c:v>Under 30</c:v>
                </c:pt>
                <c:pt idx="1">
                  <c:v>30-34</c:v>
                </c:pt>
                <c:pt idx="2">
                  <c:v>35-39</c:v>
                </c:pt>
                <c:pt idx="3">
                  <c:v>40-44</c:v>
                </c:pt>
                <c:pt idx="4">
                  <c:v>45-49</c:v>
                </c:pt>
                <c:pt idx="5">
                  <c:v>50-54</c:v>
                </c:pt>
                <c:pt idx="6">
                  <c:v>55-59</c:v>
                </c:pt>
                <c:pt idx="7">
                  <c:v>60-64</c:v>
                </c:pt>
                <c:pt idx="8">
                  <c:v>65-69</c:v>
                </c:pt>
                <c:pt idx="9">
                  <c:v>70+</c:v>
                </c:pt>
                <c:pt idx="10">
                  <c:v>Unknown</c:v>
                </c:pt>
              </c:strCache>
            </c:strRef>
          </c:cat>
          <c:val>
            <c:numRef>
              <c:f>Sheet1!$D$8:$N$8</c:f>
              <c:numCache>
                <c:formatCode>General</c:formatCode>
                <c:ptCount val="11"/>
                <c:pt idx="0">
                  <c:v>5</c:v>
                </c:pt>
                <c:pt idx="1">
                  <c:v>33</c:v>
                </c:pt>
                <c:pt idx="2">
                  <c:v>64</c:v>
                </c:pt>
                <c:pt idx="3">
                  <c:v>66</c:v>
                </c:pt>
                <c:pt idx="4">
                  <c:v>79</c:v>
                </c:pt>
                <c:pt idx="5">
                  <c:v>78</c:v>
                </c:pt>
                <c:pt idx="6">
                  <c:v>54</c:v>
                </c:pt>
                <c:pt idx="7">
                  <c:v>14</c:v>
                </c:pt>
                <c:pt idx="8">
                  <c:v>3</c:v>
                </c:pt>
                <c:pt idx="9">
                  <c:v>0</c:v>
                </c:pt>
                <c:pt idx="10">
                  <c:v>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GP Practitioners - </a:t>
            </a:r>
            <a:r>
              <a:rPr lang="en-GB" baseline="0"/>
              <a:t>Qualified outisde the UK</a:t>
            </a:r>
            <a:endParaRPr lang="en-GB"/>
          </a:p>
        </c:rich>
      </c:tx>
      <c:overlay val="0"/>
    </c:title>
    <c:autoTitleDeleted val="0"/>
    <c:plotArea>
      <c:layout>
        <c:manualLayout>
          <c:layoutTarget val="inner"/>
          <c:xMode val="edge"/>
          <c:yMode val="edge"/>
          <c:x val="0.12448404236619841"/>
          <c:y val="0.20598761573116567"/>
          <c:w val="0.82003809604638589"/>
          <c:h val="0.70356361159416825"/>
        </c:manualLayout>
      </c:layout>
      <c:barChart>
        <c:barDir val="col"/>
        <c:grouping val="clustered"/>
        <c:varyColors val="0"/>
        <c:ser>
          <c:idx val="0"/>
          <c:order val="0"/>
          <c:invertIfNegative val="0"/>
          <c:dLbls>
            <c:dLbl>
              <c:idx val="0"/>
              <c:tx>
                <c:rich>
                  <a:bodyPr/>
                  <a:lstStyle/>
                  <a:p>
                    <a:r>
                      <a:rPr lang="en-US"/>
                      <a:t>20</a:t>
                    </a:r>
                  </a:p>
                </c:rich>
              </c:tx>
              <c:showLegendKey val="0"/>
              <c:showVal val="1"/>
              <c:showCatName val="0"/>
              <c:showSerName val="0"/>
              <c:showPercent val="0"/>
              <c:showBubbleSize val="0"/>
            </c:dLbl>
            <c:dLbl>
              <c:idx val="1"/>
              <c:layout>
                <c:manualLayout>
                  <c:x val="0"/>
                  <c:y val="1.4441964482433255E-2"/>
                </c:manualLayout>
              </c:layout>
              <c:tx>
                <c:rich>
                  <a:bodyPr/>
                  <a:lstStyle/>
                  <a:p>
                    <a:r>
                      <a:rPr lang="en-US"/>
                      <a:t>11</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Sheet1!$W$13:$X$13</c:f>
              <c:strCache>
                <c:ptCount val="2"/>
                <c:pt idx="0">
                  <c:v>Rest of EEA</c:v>
                </c:pt>
                <c:pt idx="1">
                  <c:v>Other</c:v>
                </c:pt>
              </c:strCache>
            </c:strRef>
          </c:cat>
          <c:val>
            <c:numRef>
              <c:f>Sheet1!$W$14:$X$14</c:f>
              <c:numCache>
                <c:formatCode>#,##0</c:formatCode>
                <c:ptCount val="2"/>
                <c:pt idx="0">
                  <c:v>25</c:v>
                </c:pt>
                <c:pt idx="1">
                  <c:v>38</c:v>
                </c:pt>
              </c:numCache>
            </c:numRef>
          </c:val>
        </c:ser>
        <c:dLbls>
          <c:showLegendKey val="0"/>
          <c:showVal val="0"/>
          <c:showCatName val="0"/>
          <c:showSerName val="0"/>
          <c:showPercent val="0"/>
          <c:showBubbleSize val="0"/>
        </c:dLbls>
        <c:gapWidth val="150"/>
        <c:axId val="76089984"/>
        <c:axId val="76099968"/>
      </c:barChart>
      <c:catAx>
        <c:axId val="76089984"/>
        <c:scaling>
          <c:orientation val="minMax"/>
        </c:scaling>
        <c:delete val="0"/>
        <c:axPos val="b"/>
        <c:numFmt formatCode="#,##0" sourceLinked="1"/>
        <c:majorTickMark val="none"/>
        <c:minorTickMark val="none"/>
        <c:tickLblPos val="nextTo"/>
        <c:crossAx val="76099968"/>
        <c:crosses val="autoZero"/>
        <c:auto val="1"/>
        <c:lblAlgn val="ctr"/>
        <c:lblOffset val="100"/>
        <c:noMultiLvlLbl val="0"/>
      </c:catAx>
      <c:valAx>
        <c:axId val="76099968"/>
        <c:scaling>
          <c:orientation val="minMax"/>
        </c:scaling>
        <c:delete val="0"/>
        <c:axPos val="l"/>
        <c:majorGridlines/>
        <c:title>
          <c:tx>
            <c:rich>
              <a:bodyPr rot="-5400000" vert="horz"/>
              <a:lstStyle/>
              <a:p>
                <a:pPr>
                  <a:defRPr/>
                </a:pPr>
                <a:r>
                  <a:rPr lang="en-US"/>
                  <a:t>Headcount</a:t>
                </a:r>
              </a:p>
            </c:rich>
          </c:tx>
          <c:overlay val="0"/>
        </c:title>
        <c:numFmt formatCode="#,##0" sourceLinked="1"/>
        <c:majorTickMark val="none"/>
        <c:minorTickMark val="none"/>
        <c:tickLblPos val="nextTo"/>
        <c:crossAx val="7608998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Practice</a:t>
            </a:r>
            <a:r>
              <a:rPr lang="en-GB" baseline="0"/>
              <a:t> Staff by Job Role</a:t>
            </a:r>
            <a:endParaRPr lang="en-GB"/>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Sheet1!$D$17:$I$17</c:f>
              <c:strCache>
                <c:ptCount val="6"/>
                <c:pt idx="0">
                  <c:v>Advanced Nurse</c:v>
                </c:pt>
                <c:pt idx="1">
                  <c:v>Extended Nurse</c:v>
                </c:pt>
                <c:pt idx="2">
                  <c:v>Practice Nurse</c:v>
                </c:pt>
                <c:pt idx="3">
                  <c:v>Direct Patient Care</c:v>
                </c:pt>
                <c:pt idx="4">
                  <c:v>Admin and Clerical</c:v>
                </c:pt>
                <c:pt idx="5">
                  <c:v>Other</c:v>
                </c:pt>
              </c:strCache>
            </c:strRef>
          </c:cat>
          <c:val>
            <c:numRef>
              <c:f>Sheet1!$D$18:$I$18</c:f>
              <c:numCache>
                <c:formatCode>#,##0</c:formatCode>
                <c:ptCount val="6"/>
                <c:pt idx="0">
                  <c:v>66</c:v>
                </c:pt>
                <c:pt idx="1">
                  <c:v>61</c:v>
                </c:pt>
                <c:pt idx="2">
                  <c:v>154</c:v>
                </c:pt>
                <c:pt idx="3">
                  <c:v>261</c:v>
                </c:pt>
                <c:pt idx="4">
                  <c:v>991</c:v>
                </c:pt>
                <c:pt idx="5">
                  <c:v>104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1630</Words>
  <Characters>9292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Razaq Saba (NWHEE)</dc:creator>
  <cp:lastModifiedBy>Nicholas Katie (NWHEE)</cp:lastModifiedBy>
  <cp:revision>2</cp:revision>
  <dcterms:created xsi:type="dcterms:W3CDTF">2016-03-30T12:05:00Z</dcterms:created>
  <dcterms:modified xsi:type="dcterms:W3CDTF">2016-03-30T12:05:00Z</dcterms:modified>
</cp:coreProperties>
</file>