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3F6EE" w14:textId="70ECC00F" w:rsidR="00423B08" w:rsidRDefault="008A2829">
      <w:r>
        <w:rPr>
          <w:noProof/>
        </w:rPr>
        <w:drawing>
          <wp:anchor distT="0" distB="0" distL="114300" distR="114300" simplePos="0" relativeHeight="251659264" behindDoc="1" locked="0" layoutInCell="1" allowOverlap="1" wp14:anchorId="24FC7B00" wp14:editId="59983866">
            <wp:simplePos x="0" y="0"/>
            <wp:positionH relativeFrom="column">
              <wp:posOffset>4424045</wp:posOffset>
            </wp:positionH>
            <wp:positionV relativeFrom="page">
              <wp:posOffset>494665</wp:posOffset>
            </wp:positionV>
            <wp:extent cx="1786890" cy="947420"/>
            <wp:effectExtent l="0" t="0" r="381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1786890" cy="947420"/>
                    </a:xfrm>
                    <a:prstGeom prst="rect">
                      <a:avLst/>
                    </a:prstGeom>
                  </pic:spPr>
                </pic:pic>
              </a:graphicData>
            </a:graphic>
            <wp14:sizeRelH relativeFrom="margin">
              <wp14:pctWidth>0</wp14:pctWidth>
            </wp14:sizeRelH>
            <wp14:sizeRelV relativeFrom="margin">
              <wp14:pctHeight>0</wp14:pctHeight>
            </wp14:sizeRelV>
          </wp:anchor>
        </w:drawing>
      </w:r>
      <w:r w:rsidRPr="00546255">
        <w:rPr>
          <w:noProof/>
        </w:rPr>
        <w:drawing>
          <wp:anchor distT="0" distB="0" distL="114300" distR="114300" simplePos="0" relativeHeight="251658240" behindDoc="1" locked="0" layoutInCell="1" allowOverlap="1" wp14:anchorId="1CD46533" wp14:editId="27D547C1">
            <wp:simplePos x="0" y="0"/>
            <wp:positionH relativeFrom="column">
              <wp:posOffset>23813</wp:posOffset>
            </wp:positionH>
            <wp:positionV relativeFrom="page">
              <wp:posOffset>609918</wp:posOffset>
            </wp:positionV>
            <wp:extent cx="1332865" cy="761365"/>
            <wp:effectExtent l="0" t="0" r="635" b="635"/>
            <wp:wrapNone/>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1332865" cy="761365"/>
                    </a:xfrm>
                    <a:prstGeom prst="rect">
                      <a:avLst/>
                    </a:prstGeom>
                  </pic:spPr>
                </pic:pic>
              </a:graphicData>
            </a:graphic>
            <wp14:sizeRelH relativeFrom="page">
              <wp14:pctWidth>0</wp14:pctWidth>
            </wp14:sizeRelH>
            <wp14:sizeRelV relativeFrom="page">
              <wp14:pctHeight>0</wp14:pctHeight>
            </wp14:sizeRelV>
          </wp:anchor>
        </w:drawing>
      </w:r>
    </w:p>
    <w:p w14:paraId="5ECA60D6" w14:textId="7F2AD727" w:rsidR="00423B08" w:rsidRDefault="00423B08"/>
    <w:p w14:paraId="20182B62" w14:textId="5145F422" w:rsidR="00423B08" w:rsidRDefault="00423B08"/>
    <w:p w14:paraId="4D7312BB" w14:textId="77777777" w:rsidR="00DA6B13" w:rsidRDefault="00DA6B13" w:rsidP="004830CC">
      <w:pPr>
        <w:pStyle w:val="Heading1"/>
      </w:pPr>
    </w:p>
    <w:p w14:paraId="3D27F270" w14:textId="77777777" w:rsidR="00DA6B13" w:rsidRDefault="00DA6B13" w:rsidP="004830CC">
      <w:pPr>
        <w:pStyle w:val="Heading1"/>
      </w:pPr>
    </w:p>
    <w:p w14:paraId="687125D0" w14:textId="77777777" w:rsidR="00DA6B13" w:rsidRDefault="00DA6B13" w:rsidP="004830CC">
      <w:pPr>
        <w:pStyle w:val="Heading1"/>
      </w:pPr>
    </w:p>
    <w:p w14:paraId="27E7F49E" w14:textId="77777777" w:rsidR="00DA6B13" w:rsidRDefault="00DA6B13" w:rsidP="004830CC">
      <w:pPr>
        <w:pStyle w:val="Heading1"/>
      </w:pPr>
    </w:p>
    <w:p w14:paraId="01692CDE" w14:textId="77777777" w:rsidR="00DA6B13" w:rsidRDefault="004830CC" w:rsidP="00DA6B13">
      <w:pPr>
        <w:jc w:val="center"/>
        <w:rPr>
          <w:rFonts w:asciiTheme="majorHAnsi" w:hAnsiTheme="majorHAnsi" w:cstheme="majorHAnsi"/>
          <w:color w:val="2F5496"/>
          <w:sz w:val="52"/>
          <w:szCs w:val="52"/>
        </w:rPr>
      </w:pPr>
      <w:r w:rsidRPr="00DA6B13">
        <w:rPr>
          <w:rFonts w:asciiTheme="majorHAnsi" w:hAnsiTheme="majorHAnsi" w:cstheme="majorHAnsi"/>
          <w:color w:val="2F5496"/>
          <w:sz w:val="52"/>
          <w:szCs w:val="52"/>
        </w:rPr>
        <w:t xml:space="preserve">Health Education England SW </w:t>
      </w:r>
    </w:p>
    <w:p w14:paraId="09A5448C" w14:textId="3BAACDD4" w:rsidR="004830CC" w:rsidRPr="00DA6B13" w:rsidRDefault="004830CC" w:rsidP="00DA6B13">
      <w:pPr>
        <w:jc w:val="center"/>
        <w:rPr>
          <w:rFonts w:asciiTheme="majorHAnsi" w:hAnsiTheme="majorHAnsi" w:cstheme="majorHAnsi"/>
          <w:color w:val="2F5496"/>
          <w:sz w:val="52"/>
          <w:szCs w:val="52"/>
        </w:rPr>
      </w:pPr>
      <w:r w:rsidRPr="00DA6B13">
        <w:rPr>
          <w:rFonts w:asciiTheme="majorHAnsi" w:hAnsiTheme="majorHAnsi" w:cstheme="majorHAnsi"/>
          <w:color w:val="2F5496"/>
          <w:sz w:val="52"/>
          <w:szCs w:val="52"/>
        </w:rPr>
        <w:t>Pan-STP UEC Wor</w:t>
      </w:r>
      <w:r w:rsidR="005D6E27">
        <w:rPr>
          <w:rFonts w:asciiTheme="majorHAnsi" w:hAnsiTheme="majorHAnsi" w:cstheme="majorHAnsi"/>
          <w:color w:val="2F5496"/>
          <w:sz w:val="52"/>
          <w:szCs w:val="52"/>
        </w:rPr>
        <w:t>k</w:t>
      </w:r>
      <w:r w:rsidRPr="00DA6B13">
        <w:rPr>
          <w:rFonts w:asciiTheme="majorHAnsi" w:hAnsiTheme="majorHAnsi" w:cstheme="majorHAnsi"/>
          <w:color w:val="2F5496"/>
          <w:sz w:val="52"/>
          <w:szCs w:val="52"/>
        </w:rPr>
        <w:t>force Programme</w:t>
      </w:r>
    </w:p>
    <w:p w14:paraId="371ED342" w14:textId="77777777" w:rsidR="00DA6B13" w:rsidRPr="00DA6B13" w:rsidRDefault="00DA6B13" w:rsidP="00DA6B13">
      <w:pPr>
        <w:pStyle w:val="Heading2"/>
        <w:jc w:val="center"/>
        <w:rPr>
          <w:rFonts w:cstheme="majorHAnsi"/>
          <w:color w:val="2F5496"/>
        </w:rPr>
      </w:pPr>
    </w:p>
    <w:p w14:paraId="493DCEAD" w14:textId="77777777" w:rsidR="00DA6B13" w:rsidRPr="00DA6B13" w:rsidRDefault="00DA6B13" w:rsidP="00DA6B13">
      <w:pPr>
        <w:pStyle w:val="Heading2"/>
        <w:jc w:val="center"/>
        <w:rPr>
          <w:rFonts w:cstheme="majorHAnsi"/>
          <w:color w:val="2F5496"/>
        </w:rPr>
      </w:pPr>
    </w:p>
    <w:p w14:paraId="0AB2EE89" w14:textId="47852DD3" w:rsidR="004830CC" w:rsidRPr="00DA6B13" w:rsidRDefault="004830CC" w:rsidP="00DA6B13">
      <w:pPr>
        <w:jc w:val="center"/>
        <w:rPr>
          <w:rFonts w:asciiTheme="majorHAnsi" w:hAnsiTheme="majorHAnsi" w:cstheme="majorHAnsi"/>
          <w:color w:val="2F5496"/>
          <w:sz w:val="44"/>
          <w:szCs w:val="44"/>
        </w:rPr>
      </w:pPr>
      <w:r w:rsidRPr="00DA6B13">
        <w:rPr>
          <w:rFonts w:asciiTheme="majorHAnsi" w:hAnsiTheme="majorHAnsi" w:cstheme="majorHAnsi"/>
          <w:color w:val="2F5496"/>
          <w:sz w:val="44"/>
          <w:szCs w:val="44"/>
        </w:rPr>
        <w:t xml:space="preserve">Development of Salaried </w:t>
      </w:r>
      <w:r w:rsidR="007A393F">
        <w:rPr>
          <w:rFonts w:asciiTheme="majorHAnsi" w:hAnsiTheme="majorHAnsi" w:cstheme="majorHAnsi"/>
          <w:color w:val="2F5496"/>
          <w:sz w:val="44"/>
          <w:szCs w:val="44"/>
        </w:rPr>
        <w:t xml:space="preserve">GP </w:t>
      </w:r>
      <w:r w:rsidRPr="00DA6B13">
        <w:rPr>
          <w:rFonts w:asciiTheme="majorHAnsi" w:hAnsiTheme="majorHAnsi" w:cstheme="majorHAnsi"/>
          <w:color w:val="2F5496"/>
          <w:sz w:val="44"/>
          <w:szCs w:val="44"/>
        </w:rPr>
        <w:t>Portfolio</w:t>
      </w:r>
      <w:r w:rsidR="007A393F">
        <w:rPr>
          <w:rFonts w:asciiTheme="majorHAnsi" w:hAnsiTheme="majorHAnsi" w:cstheme="majorHAnsi"/>
          <w:color w:val="2F5496"/>
          <w:sz w:val="44"/>
          <w:szCs w:val="44"/>
        </w:rPr>
        <w:t xml:space="preserve"> </w:t>
      </w:r>
      <w:r w:rsidRPr="00DA6B13">
        <w:rPr>
          <w:rFonts w:asciiTheme="majorHAnsi" w:hAnsiTheme="majorHAnsi" w:cstheme="majorHAnsi"/>
          <w:color w:val="2F5496"/>
          <w:sz w:val="44"/>
          <w:szCs w:val="44"/>
        </w:rPr>
        <w:t>Role in Urgent and Acute Care</w:t>
      </w:r>
    </w:p>
    <w:p w14:paraId="09A0DDAD" w14:textId="77777777" w:rsidR="00DA6B13" w:rsidRPr="00DA6B13" w:rsidRDefault="00DA6B13" w:rsidP="00DA6B13">
      <w:pPr>
        <w:pStyle w:val="Heading3"/>
        <w:jc w:val="center"/>
        <w:rPr>
          <w:rFonts w:cstheme="majorHAnsi"/>
        </w:rPr>
      </w:pPr>
    </w:p>
    <w:p w14:paraId="6B886D9A" w14:textId="77777777" w:rsidR="00DA6B13" w:rsidRPr="00DA6B13" w:rsidRDefault="00DA6B13" w:rsidP="00DA6B13">
      <w:pPr>
        <w:pStyle w:val="Heading3"/>
        <w:jc w:val="center"/>
        <w:rPr>
          <w:rFonts w:cstheme="majorHAnsi"/>
        </w:rPr>
      </w:pPr>
    </w:p>
    <w:p w14:paraId="4BFB99B5" w14:textId="77777777" w:rsidR="00DA6B13" w:rsidRPr="00DA6B13" w:rsidRDefault="00DA6B13" w:rsidP="00DA6B13">
      <w:pPr>
        <w:pStyle w:val="Heading3"/>
        <w:jc w:val="center"/>
        <w:rPr>
          <w:rFonts w:cstheme="majorHAnsi"/>
        </w:rPr>
      </w:pPr>
    </w:p>
    <w:p w14:paraId="76057B90" w14:textId="77777777" w:rsidR="00DA6B13" w:rsidRPr="00DA6B13" w:rsidRDefault="00DA6B13" w:rsidP="00DA6B13">
      <w:pPr>
        <w:pStyle w:val="Heading3"/>
        <w:jc w:val="center"/>
        <w:rPr>
          <w:rFonts w:cstheme="majorHAnsi"/>
        </w:rPr>
      </w:pPr>
    </w:p>
    <w:p w14:paraId="10FC10C7" w14:textId="77777777" w:rsidR="00DA6B13" w:rsidRPr="00DA6B13" w:rsidRDefault="00DA6B13" w:rsidP="00DA6B13">
      <w:pPr>
        <w:pStyle w:val="Heading3"/>
        <w:jc w:val="center"/>
        <w:rPr>
          <w:rFonts w:cstheme="majorHAnsi"/>
        </w:rPr>
      </w:pPr>
    </w:p>
    <w:p w14:paraId="25FC64C9" w14:textId="77777777" w:rsidR="00DA6B13" w:rsidRPr="00DA6B13" w:rsidRDefault="00DA6B13" w:rsidP="00DA6B13">
      <w:pPr>
        <w:pStyle w:val="Heading3"/>
        <w:jc w:val="center"/>
        <w:rPr>
          <w:rFonts w:cstheme="majorHAnsi"/>
        </w:rPr>
      </w:pPr>
    </w:p>
    <w:p w14:paraId="1C316CC8" w14:textId="77777777" w:rsidR="00DA6B13" w:rsidRPr="00DA6B13" w:rsidRDefault="00DA6B13" w:rsidP="00DA6B13">
      <w:pPr>
        <w:pStyle w:val="Heading3"/>
        <w:jc w:val="center"/>
        <w:rPr>
          <w:rFonts w:cstheme="majorHAnsi"/>
        </w:rPr>
      </w:pPr>
    </w:p>
    <w:p w14:paraId="05BAAE76" w14:textId="77777777" w:rsidR="00DA6B13" w:rsidRPr="00DA6B13" w:rsidRDefault="00DA6B13" w:rsidP="00DA6B13">
      <w:pPr>
        <w:pStyle w:val="Heading3"/>
        <w:jc w:val="center"/>
        <w:rPr>
          <w:rFonts w:cstheme="majorHAnsi"/>
        </w:rPr>
      </w:pPr>
    </w:p>
    <w:p w14:paraId="1E4A7C07" w14:textId="77777777" w:rsidR="00DA6B13" w:rsidRPr="00DA6B13" w:rsidRDefault="00DA6B13" w:rsidP="00DA6B13">
      <w:pPr>
        <w:pStyle w:val="Heading3"/>
        <w:jc w:val="center"/>
        <w:rPr>
          <w:rFonts w:cstheme="majorHAnsi"/>
        </w:rPr>
      </w:pPr>
    </w:p>
    <w:p w14:paraId="45CFB3C1" w14:textId="77777777" w:rsidR="00DA6B13" w:rsidRPr="00DA6B13" w:rsidRDefault="00DA6B13" w:rsidP="00DA6B13">
      <w:pPr>
        <w:pStyle w:val="Heading3"/>
        <w:jc w:val="center"/>
        <w:rPr>
          <w:rFonts w:cstheme="majorHAnsi"/>
        </w:rPr>
      </w:pPr>
    </w:p>
    <w:p w14:paraId="5E9A780C" w14:textId="77777777" w:rsidR="00DA6B13" w:rsidRPr="00DA6B13" w:rsidRDefault="00DA6B13" w:rsidP="00DA6B13">
      <w:pPr>
        <w:pStyle w:val="Heading3"/>
        <w:jc w:val="center"/>
        <w:rPr>
          <w:rFonts w:cstheme="majorHAnsi"/>
        </w:rPr>
      </w:pPr>
    </w:p>
    <w:p w14:paraId="78048403" w14:textId="77777777" w:rsidR="00DA6B13" w:rsidRPr="00DA6B13" w:rsidRDefault="00DA6B13" w:rsidP="00DA6B13">
      <w:pPr>
        <w:pStyle w:val="Heading3"/>
        <w:jc w:val="center"/>
        <w:rPr>
          <w:rFonts w:cstheme="majorHAnsi"/>
        </w:rPr>
      </w:pPr>
    </w:p>
    <w:p w14:paraId="0EEBDDE1" w14:textId="77777777" w:rsidR="00DA6B13" w:rsidRPr="00DA6B13" w:rsidRDefault="00DA6B13" w:rsidP="00DA6B13">
      <w:pPr>
        <w:pStyle w:val="Heading3"/>
        <w:jc w:val="center"/>
        <w:rPr>
          <w:rFonts w:cstheme="majorHAnsi"/>
        </w:rPr>
      </w:pPr>
    </w:p>
    <w:p w14:paraId="2B376719" w14:textId="2E9CADF6" w:rsidR="001712E8" w:rsidRPr="00DA6B13" w:rsidRDefault="001712E8" w:rsidP="00DA6B13">
      <w:pPr>
        <w:jc w:val="center"/>
        <w:rPr>
          <w:rFonts w:asciiTheme="majorHAnsi" w:hAnsiTheme="majorHAnsi" w:cstheme="majorHAnsi"/>
          <w:color w:val="2E74B5" w:themeColor="accent5" w:themeShade="BF"/>
          <w:sz w:val="24"/>
          <w:szCs w:val="24"/>
        </w:rPr>
      </w:pPr>
      <w:r w:rsidRPr="00DA6B13">
        <w:rPr>
          <w:rFonts w:asciiTheme="majorHAnsi" w:hAnsiTheme="majorHAnsi" w:cstheme="majorHAnsi"/>
          <w:color w:val="2E74B5" w:themeColor="accent5" w:themeShade="BF"/>
          <w:sz w:val="24"/>
          <w:szCs w:val="24"/>
        </w:rPr>
        <w:t xml:space="preserve">Phase </w:t>
      </w:r>
      <w:r w:rsidR="00ED0DD0">
        <w:rPr>
          <w:rFonts w:asciiTheme="majorHAnsi" w:hAnsiTheme="majorHAnsi" w:cstheme="majorHAnsi"/>
          <w:color w:val="2E74B5" w:themeColor="accent5" w:themeShade="BF"/>
          <w:sz w:val="24"/>
          <w:szCs w:val="24"/>
        </w:rPr>
        <w:t>2</w:t>
      </w:r>
      <w:r w:rsidRPr="00DA6B13">
        <w:rPr>
          <w:rFonts w:asciiTheme="majorHAnsi" w:hAnsiTheme="majorHAnsi" w:cstheme="majorHAnsi"/>
          <w:color w:val="2E74B5" w:themeColor="accent5" w:themeShade="BF"/>
          <w:sz w:val="24"/>
          <w:szCs w:val="24"/>
        </w:rPr>
        <w:t xml:space="preserve">: </w:t>
      </w:r>
      <w:r w:rsidR="00ED0DD0">
        <w:rPr>
          <w:rFonts w:asciiTheme="majorHAnsi" w:hAnsiTheme="majorHAnsi" w:cstheme="majorHAnsi"/>
          <w:color w:val="2E74B5" w:themeColor="accent5" w:themeShade="BF"/>
          <w:sz w:val="24"/>
          <w:szCs w:val="24"/>
        </w:rPr>
        <w:t>Feasibility</w:t>
      </w:r>
    </w:p>
    <w:p w14:paraId="61147CC9" w14:textId="4ED0E338" w:rsidR="004830CC" w:rsidRDefault="004830CC" w:rsidP="00DA6B13">
      <w:pPr>
        <w:jc w:val="center"/>
        <w:rPr>
          <w:rFonts w:asciiTheme="majorHAnsi" w:hAnsiTheme="majorHAnsi" w:cstheme="majorHAnsi"/>
          <w:color w:val="2E74B5" w:themeColor="accent5" w:themeShade="BF"/>
          <w:sz w:val="24"/>
          <w:szCs w:val="24"/>
        </w:rPr>
      </w:pPr>
      <w:r w:rsidRPr="00DA6B13">
        <w:rPr>
          <w:rFonts w:asciiTheme="majorHAnsi" w:hAnsiTheme="majorHAnsi" w:cstheme="majorHAnsi"/>
          <w:color w:val="2E74B5" w:themeColor="accent5" w:themeShade="BF"/>
          <w:sz w:val="24"/>
          <w:szCs w:val="24"/>
        </w:rPr>
        <w:t>M</w:t>
      </w:r>
      <w:r w:rsidR="00ED0DD0">
        <w:rPr>
          <w:rFonts w:asciiTheme="majorHAnsi" w:hAnsiTheme="majorHAnsi" w:cstheme="majorHAnsi"/>
          <w:color w:val="2E74B5" w:themeColor="accent5" w:themeShade="BF"/>
          <w:sz w:val="24"/>
          <w:szCs w:val="24"/>
        </w:rPr>
        <w:t>11</w:t>
      </w:r>
      <w:r w:rsidRPr="00DA6B13">
        <w:rPr>
          <w:rFonts w:asciiTheme="majorHAnsi" w:hAnsiTheme="majorHAnsi" w:cstheme="majorHAnsi"/>
          <w:color w:val="2E74B5" w:themeColor="accent5" w:themeShade="BF"/>
          <w:sz w:val="24"/>
          <w:szCs w:val="24"/>
        </w:rPr>
        <w:t xml:space="preserve"> – </w:t>
      </w:r>
      <w:r w:rsidR="00ED0DD0">
        <w:rPr>
          <w:rFonts w:asciiTheme="majorHAnsi" w:hAnsiTheme="majorHAnsi" w:cstheme="majorHAnsi"/>
          <w:color w:val="2E74B5" w:themeColor="accent5" w:themeShade="BF"/>
          <w:sz w:val="24"/>
          <w:szCs w:val="24"/>
        </w:rPr>
        <w:t>Feasibility Paper</w:t>
      </w:r>
    </w:p>
    <w:p w14:paraId="3EA9CD3C" w14:textId="2470193C" w:rsidR="006520F7" w:rsidRPr="00DA6B13" w:rsidRDefault="006520F7" w:rsidP="00DA6B13">
      <w:pPr>
        <w:jc w:val="center"/>
        <w:rPr>
          <w:rFonts w:asciiTheme="majorHAnsi" w:hAnsiTheme="majorHAnsi" w:cstheme="majorHAnsi"/>
          <w:color w:val="2E74B5" w:themeColor="accent5" w:themeShade="BF"/>
          <w:sz w:val="24"/>
          <w:szCs w:val="24"/>
        </w:rPr>
      </w:pPr>
      <w:r>
        <w:rPr>
          <w:rFonts w:asciiTheme="majorHAnsi" w:hAnsiTheme="majorHAnsi" w:cstheme="majorHAnsi"/>
          <w:color w:val="2E74B5" w:themeColor="accent5" w:themeShade="BF"/>
          <w:sz w:val="24"/>
          <w:szCs w:val="24"/>
        </w:rPr>
        <w:t>June 2018</w:t>
      </w:r>
      <w:bookmarkStart w:id="0" w:name="_GoBack"/>
      <w:bookmarkEnd w:id="0"/>
    </w:p>
    <w:sdt>
      <w:sdtPr>
        <w:rPr>
          <w:rFonts w:asciiTheme="minorHAnsi" w:eastAsiaTheme="minorHAnsi" w:hAnsiTheme="minorHAnsi" w:cstheme="minorBidi"/>
          <w:color w:val="auto"/>
          <w:sz w:val="22"/>
          <w:szCs w:val="22"/>
          <w:lang w:val="en-GB"/>
        </w:rPr>
        <w:id w:val="-1385176533"/>
        <w:docPartObj>
          <w:docPartGallery w:val="Table of Contents"/>
          <w:docPartUnique/>
        </w:docPartObj>
      </w:sdtPr>
      <w:sdtEndPr>
        <w:rPr>
          <w:b/>
          <w:bCs/>
          <w:noProof/>
        </w:rPr>
      </w:sdtEndPr>
      <w:sdtContent>
        <w:p w14:paraId="613E079E" w14:textId="7ED4C79E" w:rsidR="00A21FDD" w:rsidRDefault="00A21FDD">
          <w:pPr>
            <w:pStyle w:val="TOCHeading"/>
          </w:pPr>
          <w:r>
            <w:t>Table of Contents</w:t>
          </w:r>
        </w:p>
        <w:p w14:paraId="43FAEB6A" w14:textId="77777777" w:rsidR="00A21FDD" w:rsidRPr="00A21FDD" w:rsidRDefault="00A21FDD" w:rsidP="00A21FDD">
          <w:pPr>
            <w:rPr>
              <w:lang w:val="en-US"/>
            </w:rPr>
          </w:pPr>
        </w:p>
        <w:p w14:paraId="1D42F23F" w14:textId="2790EC37" w:rsidR="00FC53F1" w:rsidRDefault="00A21FDD">
          <w:pPr>
            <w:pStyle w:val="TOC2"/>
            <w:tabs>
              <w:tab w:val="left" w:pos="660"/>
              <w:tab w:val="right" w:leader="dot" w:pos="9016"/>
            </w:tabs>
            <w:rPr>
              <w:rFonts w:eastAsiaTheme="minorEastAsia"/>
              <w:noProof/>
              <w:lang w:eastAsia="en-GB"/>
            </w:rPr>
          </w:pPr>
          <w:r>
            <w:fldChar w:fldCharType="begin"/>
          </w:r>
          <w:r>
            <w:instrText xml:space="preserve"> TOC \o "1-5" \h \z \u </w:instrText>
          </w:r>
          <w:r>
            <w:fldChar w:fldCharType="separate"/>
          </w:r>
          <w:hyperlink w:anchor="_Toc518386205" w:history="1">
            <w:r w:rsidR="00FC53F1" w:rsidRPr="0047614D">
              <w:rPr>
                <w:rStyle w:val="Hyperlink"/>
                <w:noProof/>
              </w:rPr>
              <w:t>1.</w:t>
            </w:r>
            <w:r w:rsidR="00FC53F1">
              <w:rPr>
                <w:rFonts w:eastAsiaTheme="minorEastAsia"/>
                <w:noProof/>
                <w:lang w:eastAsia="en-GB"/>
              </w:rPr>
              <w:tab/>
            </w:r>
            <w:r w:rsidR="00FC53F1" w:rsidRPr="0047614D">
              <w:rPr>
                <w:rStyle w:val="Hyperlink"/>
                <w:noProof/>
              </w:rPr>
              <w:t>Introduction</w:t>
            </w:r>
            <w:r w:rsidR="00FC53F1">
              <w:rPr>
                <w:noProof/>
                <w:webHidden/>
              </w:rPr>
              <w:tab/>
            </w:r>
            <w:r w:rsidR="00FC53F1">
              <w:rPr>
                <w:noProof/>
                <w:webHidden/>
              </w:rPr>
              <w:fldChar w:fldCharType="begin"/>
            </w:r>
            <w:r w:rsidR="00FC53F1">
              <w:rPr>
                <w:noProof/>
                <w:webHidden/>
              </w:rPr>
              <w:instrText xml:space="preserve"> PAGEREF _Toc518386205 \h </w:instrText>
            </w:r>
            <w:r w:rsidR="00FC53F1">
              <w:rPr>
                <w:noProof/>
                <w:webHidden/>
              </w:rPr>
            </w:r>
            <w:r w:rsidR="00FC53F1">
              <w:rPr>
                <w:noProof/>
                <w:webHidden/>
              </w:rPr>
              <w:fldChar w:fldCharType="separate"/>
            </w:r>
            <w:r w:rsidR="0089255F">
              <w:rPr>
                <w:noProof/>
                <w:webHidden/>
              </w:rPr>
              <w:t>3</w:t>
            </w:r>
            <w:r w:rsidR="00FC53F1">
              <w:rPr>
                <w:noProof/>
                <w:webHidden/>
              </w:rPr>
              <w:fldChar w:fldCharType="end"/>
            </w:r>
          </w:hyperlink>
        </w:p>
        <w:p w14:paraId="2C540BAB" w14:textId="33B58E73" w:rsidR="00FC53F1" w:rsidRDefault="000C1CD2">
          <w:pPr>
            <w:pStyle w:val="TOC2"/>
            <w:tabs>
              <w:tab w:val="left" w:pos="660"/>
              <w:tab w:val="right" w:leader="dot" w:pos="9016"/>
            </w:tabs>
            <w:rPr>
              <w:rFonts w:eastAsiaTheme="minorEastAsia"/>
              <w:noProof/>
              <w:lang w:eastAsia="en-GB"/>
            </w:rPr>
          </w:pPr>
          <w:hyperlink w:anchor="_Toc518386206" w:history="1">
            <w:r w:rsidR="00FC53F1" w:rsidRPr="0047614D">
              <w:rPr>
                <w:rStyle w:val="Hyperlink"/>
                <w:noProof/>
              </w:rPr>
              <w:t>2.</w:t>
            </w:r>
            <w:r w:rsidR="00FC53F1">
              <w:rPr>
                <w:rFonts w:eastAsiaTheme="minorEastAsia"/>
                <w:noProof/>
                <w:lang w:eastAsia="en-GB"/>
              </w:rPr>
              <w:tab/>
            </w:r>
            <w:r w:rsidR="00FC53F1" w:rsidRPr="0047614D">
              <w:rPr>
                <w:rStyle w:val="Hyperlink"/>
                <w:noProof/>
              </w:rPr>
              <w:t>Project outline</w:t>
            </w:r>
            <w:r w:rsidR="00FC53F1">
              <w:rPr>
                <w:noProof/>
                <w:webHidden/>
              </w:rPr>
              <w:tab/>
            </w:r>
            <w:r w:rsidR="00FC53F1">
              <w:rPr>
                <w:noProof/>
                <w:webHidden/>
              </w:rPr>
              <w:fldChar w:fldCharType="begin"/>
            </w:r>
            <w:r w:rsidR="00FC53F1">
              <w:rPr>
                <w:noProof/>
                <w:webHidden/>
              </w:rPr>
              <w:instrText xml:space="preserve"> PAGEREF _Toc518386206 \h </w:instrText>
            </w:r>
            <w:r w:rsidR="00FC53F1">
              <w:rPr>
                <w:noProof/>
                <w:webHidden/>
              </w:rPr>
            </w:r>
            <w:r w:rsidR="00FC53F1">
              <w:rPr>
                <w:noProof/>
                <w:webHidden/>
              </w:rPr>
              <w:fldChar w:fldCharType="separate"/>
            </w:r>
            <w:r w:rsidR="0089255F">
              <w:rPr>
                <w:noProof/>
                <w:webHidden/>
              </w:rPr>
              <w:t>4</w:t>
            </w:r>
            <w:r w:rsidR="00FC53F1">
              <w:rPr>
                <w:noProof/>
                <w:webHidden/>
              </w:rPr>
              <w:fldChar w:fldCharType="end"/>
            </w:r>
          </w:hyperlink>
        </w:p>
        <w:p w14:paraId="2F505C1D" w14:textId="7E9BC035" w:rsidR="00FC53F1" w:rsidRDefault="000C1CD2">
          <w:pPr>
            <w:pStyle w:val="TOC2"/>
            <w:tabs>
              <w:tab w:val="left" w:pos="660"/>
              <w:tab w:val="right" w:leader="dot" w:pos="9016"/>
            </w:tabs>
            <w:rPr>
              <w:rFonts w:eastAsiaTheme="minorEastAsia"/>
              <w:noProof/>
              <w:lang w:eastAsia="en-GB"/>
            </w:rPr>
          </w:pPr>
          <w:hyperlink w:anchor="_Toc518386207" w:history="1">
            <w:r w:rsidR="00FC53F1" w:rsidRPr="0047614D">
              <w:rPr>
                <w:rStyle w:val="Hyperlink"/>
                <w:noProof/>
              </w:rPr>
              <w:t>3.</w:t>
            </w:r>
            <w:r w:rsidR="00FC53F1">
              <w:rPr>
                <w:rFonts w:eastAsiaTheme="minorEastAsia"/>
                <w:noProof/>
                <w:lang w:eastAsia="en-GB"/>
              </w:rPr>
              <w:tab/>
            </w:r>
            <w:r w:rsidR="00FC53F1" w:rsidRPr="0047614D">
              <w:rPr>
                <w:rStyle w:val="Hyperlink"/>
                <w:noProof/>
              </w:rPr>
              <w:t>Current state analysis – GP career attitudes and intentions</w:t>
            </w:r>
            <w:r w:rsidR="00FC53F1">
              <w:rPr>
                <w:noProof/>
                <w:webHidden/>
              </w:rPr>
              <w:tab/>
            </w:r>
            <w:r w:rsidR="00FC53F1">
              <w:rPr>
                <w:noProof/>
                <w:webHidden/>
              </w:rPr>
              <w:fldChar w:fldCharType="begin"/>
            </w:r>
            <w:r w:rsidR="00FC53F1">
              <w:rPr>
                <w:noProof/>
                <w:webHidden/>
              </w:rPr>
              <w:instrText xml:space="preserve"> PAGEREF _Toc518386207 \h </w:instrText>
            </w:r>
            <w:r w:rsidR="00FC53F1">
              <w:rPr>
                <w:noProof/>
                <w:webHidden/>
              </w:rPr>
            </w:r>
            <w:r w:rsidR="00FC53F1">
              <w:rPr>
                <w:noProof/>
                <w:webHidden/>
              </w:rPr>
              <w:fldChar w:fldCharType="separate"/>
            </w:r>
            <w:r w:rsidR="0089255F">
              <w:rPr>
                <w:noProof/>
                <w:webHidden/>
              </w:rPr>
              <w:t>5</w:t>
            </w:r>
            <w:r w:rsidR="00FC53F1">
              <w:rPr>
                <w:noProof/>
                <w:webHidden/>
              </w:rPr>
              <w:fldChar w:fldCharType="end"/>
            </w:r>
          </w:hyperlink>
        </w:p>
        <w:p w14:paraId="38EA98D5" w14:textId="3489503B" w:rsidR="00FC53F1" w:rsidRDefault="000C1CD2">
          <w:pPr>
            <w:pStyle w:val="TOC5"/>
            <w:tabs>
              <w:tab w:val="right" w:leader="dot" w:pos="9016"/>
            </w:tabs>
            <w:rPr>
              <w:rFonts w:eastAsiaTheme="minorEastAsia"/>
              <w:noProof/>
              <w:lang w:eastAsia="en-GB"/>
            </w:rPr>
          </w:pPr>
          <w:hyperlink w:anchor="_Toc518386208" w:history="1">
            <w:r w:rsidR="00FC53F1" w:rsidRPr="0047614D">
              <w:rPr>
                <w:rStyle w:val="Hyperlink"/>
                <w:noProof/>
              </w:rPr>
              <w:t>3.1 Desktop research - GP attitudes toward current and future careers</w:t>
            </w:r>
            <w:r w:rsidR="00FC53F1">
              <w:rPr>
                <w:noProof/>
                <w:webHidden/>
              </w:rPr>
              <w:tab/>
            </w:r>
            <w:r w:rsidR="00FC53F1">
              <w:rPr>
                <w:noProof/>
                <w:webHidden/>
              </w:rPr>
              <w:fldChar w:fldCharType="begin"/>
            </w:r>
            <w:r w:rsidR="00FC53F1">
              <w:rPr>
                <w:noProof/>
                <w:webHidden/>
              </w:rPr>
              <w:instrText xml:space="preserve"> PAGEREF _Toc518386208 \h </w:instrText>
            </w:r>
            <w:r w:rsidR="00FC53F1">
              <w:rPr>
                <w:noProof/>
                <w:webHidden/>
              </w:rPr>
            </w:r>
            <w:r w:rsidR="00FC53F1">
              <w:rPr>
                <w:noProof/>
                <w:webHidden/>
              </w:rPr>
              <w:fldChar w:fldCharType="separate"/>
            </w:r>
            <w:r w:rsidR="0089255F">
              <w:rPr>
                <w:noProof/>
                <w:webHidden/>
              </w:rPr>
              <w:t>5</w:t>
            </w:r>
            <w:r w:rsidR="00FC53F1">
              <w:rPr>
                <w:noProof/>
                <w:webHidden/>
              </w:rPr>
              <w:fldChar w:fldCharType="end"/>
            </w:r>
          </w:hyperlink>
        </w:p>
        <w:p w14:paraId="1AF5E41F" w14:textId="7A6648DD" w:rsidR="00FC53F1" w:rsidRDefault="000C1CD2">
          <w:pPr>
            <w:pStyle w:val="TOC5"/>
            <w:tabs>
              <w:tab w:val="right" w:leader="dot" w:pos="9016"/>
            </w:tabs>
            <w:rPr>
              <w:rFonts w:eastAsiaTheme="minorEastAsia"/>
              <w:noProof/>
              <w:lang w:eastAsia="en-GB"/>
            </w:rPr>
          </w:pPr>
          <w:hyperlink w:anchor="_Toc518386209" w:history="1">
            <w:r w:rsidR="00FC53F1" w:rsidRPr="0047614D">
              <w:rPr>
                <w:rStyle w:val="Hyperlink"/>
                <w:noProof/>
              </w:rPr>
              <w:t>3.2 VTS Focus Group – GP Trainees’ attitudes toward portfolio working</w:t>
            </w:r>
            <w:r w:rsidR="00FC53F1">
              <w:rPr>
                <w:noProof/>
                <w:webHidden/>
              </w:rPr>
              <w:tab/>
            </w:r>
            <w:r w:rsidR="00FC53F1">
              <w:rPr>
                <w:noProof/>
                <w:webHidden/>
              </w:rPr>
              <w:fldChar w:fldCharType="begin"/>
            </w:r>
            <w:r w:rsidR="00FC53F1">
              <w:rPr>
                <w:noProof/>
                <w:webHidden/>
              </w:rPr>
              <w:instrText xml:space="preserve"> PAGEREF _Toc518386209 \h </w:instrText>
            </w:r>
            <w:r w:rsidR="00FC53F1">
              <w:rPr>
                <w:noProof/>
                <w:webHidden/>
              </w:rPr>
            </w:r>
            <w:r w:rsidR="00FC53F1">
              <w:rPr>
                <w:noProof/>
                <w:webHidden/>
              </w:rPr>
              <w:fldChar w:fldCharType="separate"/>
            </w:r>
            <w:r w:rsidR="0089255F">
              <w:rPr>
                <w:noProof/>
                <w:webHidden/>
              </w:rPr>
              <w:t>5</w:t>
            </w:r>
            <w:r w:rsidR="00FC53F1">
              <w:rPr>
                <w:noProof/>
                <w:webHidden/>
              </w:rPr>
              <w:fldChar w:fldCharType="end"/>
            </w:r>
          </w:hyperlink>
        </w:p>
        <w:p w14:paraId="663D2A56" w14:textId="2A888730" w:rsidR="00FC53F1" w:rsidRDefault="000C1CD2">
          <w:pPr>
            <w:pStyle w:val="TOC5"/>
            <w:tabs>
              <w:tab w:val="right" w:leader="dot" w:pos="9016"/>
            </w:tabs>
            <w:rPr>
              <w:rFonts w:eastAsiaTheme="minorEastAsia"/>
              <w:noProof/>
              <w:lang w:eastAsia="en-GB"/>
            </w:rPr>
          </w:pPr>
          <w:hyperlink w:anchor="_Toc518386210" w:history="1">
            <w:r w:rsidR="00FC53F1" w:rsidRPr="0047614D">
              <w:rPr>
                <w:rStyle w:val="Hyperlink"/>
                <w:noProof/>
              </w:rPr>
              <w:t>3.3 ST3 Trainees Online Survey – portfolio working preferences</w:t>
            </w:r>
            <w:r w:rsidR="00FC53F1">
              <w:rPr>
                <w:noProof/>
                <w:webHidden/>
              </w:rPr>
              <w:tab/>
            </w:r>
            <w:r w:rsidR="00FC53F1">
              <w:rPr>
                <w:noProof/>
                <w:webHidden/>
              </w:rPr>
              <w:fldChar w:fldCharType="begin"/>
            </w:r>
            <w:r w:rsidR="00FC53F1">
              <w:rPr>
                <w:noProof/>
                <w:webHidden/>
              </w:rPr>
              <w:instrText xml:space="preserve"> PAGEREF _Toc518386210 \h </w:instrText>
            </w:r>
            <w:r w:rsidR="00FC53F1">
              <w:rPr>
                <w:noProof/>
                <w:webHidden/>
              </w:rPr>
            </w:r>
            <w:r w:rsidR="00FC53F1">
              <w:rPr>
                <w:noProof/>
                <w:webHidden/>
              </w:rPr>
              <w:fldChar w:fldCharType="separate"/>
            </w:r>
            <w:r w:rsidR="0089255F">
              <w:rPr>
                <w:noProof/>
                <w:webHidden/>
              </w:rPr>
              <w:t>6</w:t>
            </w:r>
            <w:r w:rsidR="00FC53F1">
              <w:rPr>
                <w:noProof/>
                <w:webHidden/>
              </w:rPr>
              <w:fldChar w:fldCharType="end"/>
            </w:r>
          </w:hyperlink>
        </w:p>
        <w:p w14:paraId="538E2478" w14:textId="5326A740" w:rsidR="00FC53F1" w:rsidRDefault="000C1CD2">
          <w:pPr>
            <w:pStyle w:val="TOC2"/>
            <w:tabs>
              <w:tab w:val="left" w:pos="660"/>
              <w:tab w:val="right" w:leader="dot" w:pos="9016"/>
            </w:tabs>
            <w:rPr>
              <w:rFonts w:eastAsiaTheme="minorEastAsia"/>
              <w:noProof/>
              <w:lang w:eastAsia="en-GB"/>
            </w:rPr>
          </w:pPr>
          <w:hyperlink w:anchor="_Toc518386211" w:history="1">
            <w:r w:rsidR="00FC53F1" w:rsidRPr="0047614D">
              <w:rPr>
                <w:rStyle w:val="Hyperlink"/>
                <w:noProof/>
              </w:rPr>
              <w:t>4.</w:t>
            </w:r>
            <w:r w:rsidR="00FC53F1">
              <w:rPr>
                <w:rFonts w:eastAsiaTheme="minorEastAsia"/>
                <w:noProof/>
                <w:lang w:eastAsia="en-GB"/>
              </w:rPr>
              <w:tab/>
            </w:r>
            <w:r w:rsidR="00FC53F1" w:rsidRPr="0047614D">
              <w:rPr>
                <w:rStyle w:val="Hyperlink"/>
                <w:noProof/>
              </w:rPr>
              <w:t>Current state analysis – portfolio roles</w:t>
            </w:r>
            <w:r w:rsidR="00FC53F1">
              <w:rPr>
                <w:noProof/>
                <w:webHidden/>
              </w:rPr>
              <w:tab/>
            </w:r>
            <w:r w:rsidR="00FC53F1">
              <w:rPr>
                <w:noProof/>
                <w:webHidden/>
              </w:rPr>
              <w:fldChar w:fldCharType="begin"/>
            </w:r>
            <w:r w:rsidR="00FC53F1">
              <w:rPr>
                <w:noProof/>
                <w:webHidden/>
              </w:rPr>
              <w:instrText xml:space="preserve"> PAGEREF _Toc518386211 \h </w:instrText>
            </w:r>
            <w:r w:rsidR="00FC53F1">
              <w:rPr>
                <w:noProof/>
                <w:webHidden/>
              </w:rPr>
            </w:r>
            <w:r w:rsidR="00FC53F1">
              <w:rPr>
                <w:noProof/>
                <w:webHidden/>
              </w:rPr>
              <w:fldChar w:fldCharType="separate"/>
            </w:r>
            <w:r w:rsidR="0089255F">
              <w:rPr>
                <w:noProof/>
                <w:webHidden/>
              </w:rPr>
              <w:t>8</w:t>
            </w:r>
            <w:r w:rsidR="00FC53F1">
              <w:rPr>
                <w:noProof/>
                <w:webHidden/>
              </w:rPr>
              <w:fldChar w:fldCharType="end"/>
            </w:r>
          </w:hyperlink>
        </w:p>
        <w:p w14:paraId="0F19F9C5" w14:textId="351133F7" w:rsidR="00FC53F1" w:rsidRDefault="000C1CD2">
          <w:pPr>
            <w:pStyle w:val="TOC2"/>
            <w:tabs>
              <w:tab w:val="left" w:pos="660"/>
              <w:tab w:val="right" w:leader="dot" w:pos="9016"/>
            </w:tabs>
            <w:rPr>
              <w:rFonts w:eastAsiaTheme="minorEastAsia"/>
              <w:noProof/>
              <w:lang w:eastAsia="en-GB"/>
            </w:rPr>
          </w:pPr>
          <w:hyperlink w:anchor="_Toc518386212" w:history="1">
            <w:r w:rsidR="00FC53F1" w:rsidRPr="0047614D">
              <w:rPr>
                <w:rStyle w:val="Hyperlink"/>
                <w:noProof/>
              </w:rPr>
              <w:t>5.</w:t>
            </w:r>
            <w:r w:rsidR="00FC53F1">
              <w:rPr>
                <w:rFonts w:eastAsiaTheme="minorEastAsia"/>
                <w:noProof/>
                <w:lang w:eastAsia="en-GB"/>
              </w:rPr>
              <w:tab/>
            </w:r>
            <w:r w:rsidR="00FC53F1" w:rsidRPr="0047614D">
              <w:rPr>
                <w:rStyle w:val="Hyperlink"/>
                <w:noProof/>
              </w:rPr>
              <w:t>Data analysis</w:t>
            </w:r>
            <w:r w:rsidR="00FC53F1">
              <w:rPr>
                <w:noProof/>
                <w:webHidden/>
              </w:rPr>
              <w:tab/>
            </w:r>
            <w:r w:rsidR="00FC53F1">
              <w:rPr>
                <w:noProof/>
                <w:webHidden/>
              </w:rPr>
              <w:fldChar w:fldCharType="begin"/>
            </w:r>
            <w:r w:rsidR="00FC53F1">
              <w:rPr>
                <w:noProof/>
                <w:webHidden/>
              </w:rPr>
              <w:instrText xml:space="preserve"> PAGEREF _Toc518386212 \h </w:instrText>
            </w:r>
            <w:r w:rsidR="00FC53F1">
              <w:rPr>
                <w:noProof/>
                <w:webHidden/>
              </w:rPr>
            </w:r>
            <w:r w:rsidR="00FC53F1">
              <w:rPr>
                <w:noProof/>
                <w:webHidden/>
              </w:rPr>
              <w:fldChar w:fldCharType="separate"/>
            </w:r>
            <w:r w:rsidR="0089255F">
              <w:rPr>
                <w:noProof/>
                <w:webHidden/>
              </w:rPr>
              <w:t>10</w:t>
            </w:r>
            <w:r w:rsidR="00FC53F1">
              <w:rPr>
                <w:noProof/>
                <w:webHidden/>
              </w:rPr>
              <w:fldChar w:fldCharType="end"/>
            </w:r>
          </w:hyperlink>
        </w:p>
        <w:p w14:paraId="728FBCCD" w14:textId="4B5BBC0D" w:rsidR="00FC53F1" w:rsidRDefault="000C1CD2">
          <w:pPr>
            <w:pStyle w:val="TOC2"/>
            <w:tabs>
              <w:tab w:val="left" w:pos="660"/>
              <w:tab w:val="right" w:leader="dot" w:pos="9016"/>
            </w:tabs>
            <w:rPr>
              <w:rFonts w:eastAsiaTheme="minorEastAsia"/>
              <w:noProof/>
              <w:lang w:eastAsia="en-GB"/>
            </w:rPr>
          </w:pPr>
          <w:hyperlink w:anchor="_Toc518386213" w:history="1">
            <w:r w:rsidR="00FC53F1" w:rsidRPr="0047614D">
              <w:rPr>
                <w:rStyle w:val="Hyperlink"/>
                <w:noProof/>
              </w:rPr>
              <w:t>6.</w:t>
            </w:r>
            <w:r w:rsidR="00FC53F1">
              <w:rPr>
                <w:rFonts w:eastAsiaTheme="minorEastAsia"/>
                <w:noProof/>
                <w:lang w:eastAsia="en-GB"/>
              </w:rPr>
              <w:tab/>
            </w:r>
            <w:r w:rsidR="00FC53F1" w:rsidRPr="0047614D">
              <w:rPr>
                <w:rStyle w:val="Hyperlink"/>
                <w:noProof/>
              </w:rPr>
              <w:t>Financial analysis</w:t>
            </w:r>
            <w:r w:rsidR="00FC53F1">
              <w:rPr>
                <w:noProof/>
                <w:webHidden/>
              </w:rPr>
              <w:tab/>
            </w:r>
            <w:r w:rsidR="00FC53F1">
              <w:rPr>
                <w:noProof/>
                <w:webHidden/>
              </w:rPr>
              <w:fldChar w:fldCharType="begin"/>
            </w:r>
            <w:r w:rsidR="00FC53F1">
              <w:rPr>
                <w:noProof/>
                <w:webHidden/>
              </w:rPr>
              <w:instrText xml:space="preserve"> PAGEREF _Toc518386213 \h </w:instrText>
            </w:r>
            <w:r w:rsidR="00FC53F1">
              <w:rPr>
                <w:noProof/>
                <w:webHidden/>
              </w:rPr>
            </w:r>
            <w:r w:rsidR="00FC53F1">
              <w:rPr>
                <w:noProof/>
                <w:webHidden/>
              </w:rPr>
              <w:fldChar w:fldCharType="separate"/>
            </w:r>
            <w:r w:rsidR="0089255F">
              <w:rPr>
                <w:noProof/>
                <w:webHidden/>
              </w:rPr>
              <w:t>11</w:t>
            </w:r>
            <w:r w:rsidR="00FC53F1">
              <w:rPr>
                <w:noProof/>
                <w:webHidden/>
              </w:rPr>
              <w:fldChar w:fldCharType="end"/>
            </w:r>
          </w:hyperlink>
        </w:p>
        <w:p w14:paraId="0F4AF432" w14:textId="48F970DE" w:rsidR="00FC53F1" w:rsidRDefault="000C1CD2">
          <w:pPr>
            <w:pStyle w:val="TOC2"/>
            <w:tabs>
              <w:tab w:val="left" w:pos="660"/>
              <w:tab w:val="right" w:leader="dot" w:pos="9016"/>
            </w:tabs>
            <w:rPr>
              <w:rFonts w:eastAsiaTheme="minorEastAsia"/>
              <w:noProof/>
              <w:lang w:eastAsia="en-GB"/>
            </w:rPr>
          </w:pPr>
          <w:hyperlink w:anchor="_Toc518386214" w:history="1">
            <w:r w:rsidR="00FC53F1" w:rsidRPr="0047614D">
              <w:rPr>
                <w:rStyle w:val="Hyperlink"/>
                <w:noProof/>
              </w:rPr>
              <w:t>7.</w:t>
            </w:r>
            <w:r w:rsidR="00FC53F1">
              <w:rPr>
                <w:rFonts w:eastAsiaTheme="minorEastAsia"/>
                <w:noProof/>
                <w:lang w:eastAsia="en-GB"/>
              </w:rPr>
              <w:tab/>
            </w:r>
            <w:r w:rsidR="00FC53F1" w:rsidRPr="0047614D">
              <w:rPr>
                <w:rStyle w:val="Hyperlink"/>
                <w:noProof/>
              </w:rPr>
              <w:t>Options for salaried portfolio role</w:t>
            </w:r>
            <w:r w:rsidR="00FC53F1">
              <w:rPr>
                <w:noProof/>
                <w:webHidden/>
              </w:rPr>
              <w:tab/>
            </w:r>
            <w:r w:rsidR="00FC53F1">
              <w:rPr>
                <w:noProof/>
                <w:webHidden/>
              </w:rPr>
              <w:fldChar w:fldCharType="begin"/>
            </w:r>
            <w:r w:rsidR="00FC53F1">
              <w:rPr>
                <w:noProof/>
                <w:webHidden/>
              </w:rPr>
              <w:instrText xml:space="preserve"> PAGEREF _Toc518386214 \h </w:instrText>
            </w:r>
            <w:r w:rsidR="00FC53F1">
              <w:rPr>
                <w:noProof/>
                <w:webHidden/>
              </w:rPr>
            </w:r>
            <w:r w:rsidR="00FC53F1">
              <w:rPr>
                <w:noProof/>
                <w:webHidden/>
              </w:rPr>
              <w:fldChar w:fldCharType="separate"/>
            </w:r>
            <w:r w:rsidR="0089255F">
              <w:rPr>
                <w:noProof/>
                <w:webHidden/>
              </w:rPr>
              <w:t>12</w:t>
            </w:r>
            <w:r w:rsidR="00FC53F1">
              <w:rPr>
                <w:noProof/>
                <w:webHidden/>
              </w:rPr>
              <w:fldChar w:fldCharType="end"/>
            </w:r>
          </w:hyperlink>
        </w:p>
        <w:p w14:paraId="4986CF0C" w14:textId="54FA78CF" w:rsidR="00FC53F1" w:rsidRDefault="000C1CD2">
          <w:pPr>
            <w:pStyle w:val="TOC5"/>
            <w:tabs>
              <w:tab w:val="right" w:leader="dot" w:pos="9016"/>
            </w:tabs>
            <w:rPr>
              <w:rFonts w:eastAsiaTheme="minorEastAsia"/>
              <w:noProof/>
              <w:lang w:eastAsia="en-GB"/>
            </w:rPr>
          </w:pPr>
          <w:hyperlink w:anchor="_Toc518386215" w:history="1">
            <w:r w:rsidR="00FC53F1" w:rsidRPr="0047614D">
              <w:rPr>
                <w:rStyle w:val="Hyperlink"/>
                <w:noProof/>
              </w:rPr>
              <w:t>7.1 The role</w:t>
            </w:r>
            <w:r w:rsidR="00FC53F1">
              <w:rPr>
                <w:noProof/>
                <w:webHidden/>
              </w:rPr>
              <w:tab/>
            </w:r>
            <w:r w:rsidR="00FC53F1">
              <w:rPr>
                <w:noProof/>
                <w:webHidden/>
              </w:rPr>
              <w:fldChar w:fldCharType="begin"/>
            </w:r>
            <w:r w:rsidR="00FC53F1">
              <w:rPr>
                <w:noProof/>
                <w:webHidden/>
              </w:rPr>
              <w:instrText xml:space="preserve"> PAGEREF _Toc518386215 \h </w:instrText>
            </w:r>
            <w:r w:rsidR="00FC53F1">
              <w:rPr>
                <w:noProof/>
                <w:webHidden/>
              </w:rPr>
            </w:r>
            <w:r w:rsidR="00FC53F1">
              <w:rPr>
                <w:noProof/>
                <w:webHidden/>
              </w:rPr>
              <w:fldChar w:fldCharType="separate"/>
            </w:r>
            <w:r w:rsidR="0089255F">
              <w:rPr>
                <w:noProof/>
                <w:webHidden/>
              </w:rPr>
              <w:t>12</w:t>
            </w:r>
            <w:r w:rsidR="00FC53F1">
              <w:rPr>
                <w:noProof/>
                <w:webHidden/>
              </w:rPr>
              <w:fldChar w:fldCharType="end"/>
            </w:r>
          </w:hyperlink>
        </w:p>
        <w:p w14:paraId="53C1D1A1" w14:textId="288C49FB" w:rsidR="00FC53F1" w:rsidRDefault="000C1CD2">
          <w:pPr>
            <w:pStyle w:val="TOC5"/>
            <w:tabs>
              <w:tab w:val="right" w:leader="dot" w:pos="9016"/>
            </w:tabs>
            <w:rPr>
              <w:rFonts w:eastAsiaTheme="minorEastAsia"/>
              <w:noProof/>
              <w:lang w:eastAsia="en-GB"/>
            </w:rPr>
          </w:pPr>
          <w:hyperlink w:anchor="_Toc518386216" w:history="1">
            <w:r w:rsidR="00FC53F1" w:rsidRPr="0047614D">
              <w:rPr>
                <w:rStyle w:val="Hyperlink"/>
                <w:noProof/>
              </w:rPr>
              <w:t>7.2 Salary</w:t>
            </w:r>
            <w:r w:rsidR="00FC53F1">
              <w:rPr>
                <w:noProof/>
                <w:webHidden/>
              </w:rPr>
              <w:tab/>
            </w:r>
            <w:r w:rsidR="00FC53F1">
              <w:rPr>
                <w:noProof/>
                <w:webHidden/>
              </w:rPr>
              <w:fldChar w:fldCharType="begin"/>
            </w:r>
            <w:r w:rsidR="00FC53F1">
              <w:rPr>
                <w:noProof/>
                <w:webHidden/>
              </w:rPr>
              <w:instrText xml:space="preserve"> PAGEREF _Toc518386216 \h </w:instrText>
            </w:r>
            <w:r w:rsidR="00FC53F1">
              <w:rPr>
                <w:noProof/>
                <w:webHidden/>
              </w:rPr>
            </w:r>
            <w:r w:rsidR="00FC53F1">
              <w:rPr>
                <w:noProof/>
                <w:webHidden/>
              </w:rPr>
              <w:fldChar w:fldCharType="separate"/>
            </w:r>
            <w:r w:rsidR="0089255F">
              <w:rPr>
                <w:noProof/>
                <w:webHidden/>
              </w:rPr>
              <w:t>13</w:t>
            </w:r>
            <w:r w:rsidR="00FC53F1">
              <w:rPr>
                <w:noProof/>
                <w:webHidden/>
              </w:rPr>
              <w:fldChar w:fldCharType="end"/>
            </w:r>
          </w:hyperlink>
        </w:p>
        <w:p w14:paraId="4D93F843" w14:textId="53A80272" w:rsidR="00FC53F1" w:rsidRDefault="000C1CD2">
          <w:pPr>
            <w:pStyle w:val="TOC5"/>
            <w:tabs>
              <w:tab w:val="right" w:leader="dot" w:pos="9016"/>
            </w:tabs>
            <w:rPr>
              <w:rFonts w:eastAsiaTheme="minorEastAsia"/>
              <w:noProof/>
              <w:lang w:eastAsia="en-GB"/>
            </w:rPr>
          </w:pPr>
          <w:hyperlink w:anchor="_Toc518386217" w:history="1">
            <w:r w:rsidR="00FC53F1" w:rsidRPr="0047614D">
              <w:rPr>
                <w:rStyle w:val="Hyperlink"/>
                <w:noProof/>
              </w:rPr>
              <w:t>7.2.1 Salary setting principles</w:t>
            </w:r>
            <w:r w:rsidR="00FC53F1">
              <w:rPr>
                <w:noProof/>
                <w:webHidden/>
              </w:rPr>
              <w:tab/>
            </w:r>
            <w:r w:rsidR="00FC53F1">
              <w:rPr>
                <w:noProof/>
                <w:webHidden/>
              </w:rPr>
              <w:fldChar w:fldCharType="begin"/>
            </w:r>
            <w:r w:rsidR="00FC53F1">
              <w:rPr>
                <w:noProof/>
                <w:webHidden/>
              </w:rPr>
              <w:instrText xml:space="preserve"> PAGEREF _Toc518386217 \h </w:instrText>
            </w:r>
            <w:r w:rsidR="00FC53F1">
              <w:rPr>
                <w:noProof/>
                <w:webHidden/>
              </w:rPr>
            </w:r>
            <w:r w:rsidR="00FC53F1">
              <w:rPr>
                <w:noProof/>
                <w:webHidden/>
              </w:rPr>
              <w:fldChar w:fldCharType="separate"/>
            </w:r>
            <w:r w:rsidR="0089255F">
              <w:rPr>
                <w:noProof/>
                <w:webHidden/>
              </w:rPr>
              <w:t>13</w:t>
            </w:r>
            <w:r w:rsidR="00FC53F1">
              <w:rPr>
                <w:noProof/>
                <w:webHidden/>
              </w:rPr>
              <w:fldChar w:fldCharType="end"/>
            </w:r>
          </w:hyperlink>
        </w:p>
        <w:p w14:paraId="40A7F5F6" w14:textId="1CB73595" w:rsidR="00FC53F1" w:rsidRDefault="000C1CD2">
          <w:pPr>
            <w:pStyle w:val="TOC5"/>
            <w:tabs>
              <w:tab w:val="right" w:leader="dot" w:pos="9016"/>
            </w:tabs>
            <w:rPr>
              <w:rFonts w:eastAsiaTheme="minorEastAsia"/>
              <w:noProof/>
              <w:lang w:eastAsia="en-GB"/>
            </w:rPr>
          </w:pPr>
          <w:hyperlink w:anchor="_Toc518386218" w:history="1">
            <w:r w:rsidR="00FC53F1" w:rsidRPr="0047614D">
              <w:rPr>
                <w:rStyle w:val="Hyperlink"/>
                <w:noProof/>
              </w:rPr>
              <w:t>7.2.2 Recommended salary for portfolio role</w:t>
            </w:r>
            <w:r w:rsidR="00FC53F1">
              <w:rPr>
                <w:noProof/>
                <w:webHidden/>
              </w:rPr>
              <w:tab/>
            </w:r>
            <w:r w:rsidR="00FC53F1">
              <w:rPr>
                <w:noProof/>
                <w:webHidden/>
              </w:rPr>
              <w:fldChar w:fldCharType="begin"/>
            </w:r>
            <w:r w:rsidR="00FC53F1">
              <w:rPr>
                <w:noProof/>
                <w:webHidden/>
              </w:rPr>
              <w:instrText xml:space="preserve"> PAGEREF _Toc518386218 \h </w:instrText>
            </w:r>
            <w:r w:rsidR="00FC53F1">
              <w:rPr>
                <w:noProof/>
                <w:webHidden/>
              </w:rPr>
            </w:r>
            <w:r w:rsidR="00FC53F1">
              <w:rPr>
                <w:noProof/>
                <w:webHidden/>
              </w:rPr>
              <w:fldChar w:fldCharType="separate"/>
            </w:r>
            <w:r w:rsidR="0089255F">
              <w:rPr>
                <w:noProof/>
                <w:webHidden/>
              </w:rPr>
              <w:t>13</w:t>
            </w:r>
            <w:r w:rsidR="00FC53F1">
              <w:rPr>
                <w:noProof/>
                <w:webHidden/>
              </w:rPr>
              <w:fldChar w:fldCharType="end"/>
            </w:r>
          </w:hyperlink>
        </w:p>
        <w:p w14:paraId="0693AD1F" w14:textId="033D2FD9" w:rsidR="00FC53F1" w:rsidRDefault="000C1CD2">
          <w:pPr>
            <w:pStyle w:val="TOC2"/>
            <w:tabs>
              <w:tab w:val="left" w:pos="660"/>
              <w:tab w:val="right" w:leader="dot" w:pos="9016"/>
            </w:tabs>
            <w:rPr>
              <w:rFonts w:eastAsiaTheme="minorEastAsia"/>
              <w:noProof/>
              <w:lang w:eastAsia="en-GB"/>
            </w:rPr>
          </w:pPr>
          <w:hyperlink w:anchor="_Toc518386219" w:history="1">
            <w:r w:rsidR="00FC53F1" w:rsidRPr="0047614D">
              <w:rPr>
                <w:rStyle w:val="Hyperlink"/>
                <w:noProof/>
              </w:rPr>
              <w:t>8.</w:t>
            </w:r>
            <w:r w:rsidR="00FC53F1">
              <w:rPr>
                <w:rFonts w:eastAsiaTheme="minorEastAsia"/>
                <w:noProof/>
                <w:lang w:eastAsia="en-GB"/>
              </w:rPr>
              <w:tab/>
            </w:r>
            <w:r w:rsidR="00FC53F1" w:rsidRPr="0047614D">
              <w:rPr>
                <w:rStyle w:val="Hyperlink"/>
                <w:noProof/>
              </w:rPr>
              <w:t>Funding options for salaried portfolio role</w:t>
            </w:r>
            <w:r w:rsidR="00FC53F1">
              <w:rPr>
                <w:noProof/>
                <w:webHidden/>
              </w:rPr>
              <w:tab/>
            </w:r>
            <w:r w:rsidR="00FC53F1">
              <w:rPr>
                <w:noProof/>
                <w:webHidden/>
              </w:rPr>
              <w:fldChar w:fldCharType="begin"/>
            </w:r>
            <w:r w:rsidR="00FC53F1">
              <w:rPr>
                <w:noProof/>
                <w:webHidden/>
              </w:rPr>
              <w:instrText xml:space="preserve"> PAGEREF _Toc518386219 \h </w:instrText>
            </w:r>
            <w:r w:rsidR="00FC53F1">
              <w:rPr>
                <w:noProof/>
                <w:webHidden/>
              </w:rPr>
            </w:r>
            <w:r w:rsidR="00FC53F1">
              <w:rPr>
                <w:noProof/>
                <w:webHidden/>
              </w:rPr>
              <w:fldChar w:fldCharType="separate"/>
            </w:r>
            <w:r w:rsidR="0089255F">
              <w:rPr>
                <w:noProof/>
                <w:webHidden/>
              </w:rPr>
              <w:t>15</w:t>
            </w:r>
            <w:r w:rsidR="00FC53F1">
              <w:rPr>
                <w:noProof/>
                <w:webHidden/>
              </w:rPr>
              <w:fldChar w:fldCharType="end"/>
            </w:r>
          </w:hyperlink>
        </w:p>
        <w:p w14:paraId="6A652E10" w14:textId="75FDC51E" w:rsidR="00FC53F1" w:rsidRDefault="000C1CD2">
          <w:pPr>
            <w:pStyle w:val="TOC5"/>
            <w:tabs>
              <w:tab w:val="right" w:leader="dot" w:pos="9016"/>
            </w:tabs>
            <w:rPr>
              <w:rFonts w:eastAsiaTheme="minorEastAsia"/>
              <w:noProof/>
              <w:lang w:eastAsia="en-GB"/>
            </w:rPr>
          </w:pPr>
          <w:hyperlink w:anchor="_Toc518386220" w:history="1">
            <w:r w:rsidR="00FC53F1" w:rsidRPr="0047614D">
              <w:rPr>
                <w:rStyle w:val="Hyperlink"/>
                <w:noProof/>
              </w:rPr>
              <w:t>8.1 Local General Practitioners Retention Fund</w:t>
            </w:r>
            <w:r w:rsidR="00FC53F1">
              <w:rPr>
                <w:noProof/>
                <w:webHidden/>
              </w:rPr>
              <w:tab/>
            </w:r>
            <w:r w:rsidR="00FC53F1">
              <w:rPr>
                <w:noProof/>
                <w:webHidden/>
              </w:rPr>
              <w:fldChar w:fldCharType="begin"/>
            </w:r>
            <w:r w:rsidR="00FC53F1">
              <w:rPr>
                <w:noProof/>
                <w:webHidden/>
              </w:rPr>
              <w:instrText xml:space="preserve"> PAGEREF _Toc518386220 \h </w:instrText>
            </w:r>
            <w:r w:rsidR="00FC53F1">
              <w:rPr>
                <w:noProof/>
                <w:webHidden/>
              </w:rPr>
            </w:r>
            <w:r w:rsidR="00FC53F1">
              <w:rPr>
                <w:noProof/>
                <w:webHidden/>
              </w:rPr>
              <w:fldChar w:fldCharType="separate"/>
            </w:r>
            <w:r w:rsidR="0089255F">
              <w:rPr>
                <w:noProof/>
                <w:webHidden/>
              </w:rPr>
              <w:t>15</w:t>
            </w:r>
            <w:r w:rsidR="00FC53F1">
              <w:rPr>
                <w:noProof/>
                <w:webHidden/>
              </w:rPr>
              <w:fldChar w:fldCharType="end"/>
            </w:r>
          </w:hyperlink>
        </w:p>
        <w:p w14:paraId="46A517AB" w14:textId="7EE8D5F3" w:rsidR="00FC53F1" w:rsidRDefault="000C1CD2">
          <w:pPr>
            <w:pStyle w:val="TOC5"/>
            <w:tabs>
              <w:tab w:val="right" w:leader="dot" w:pos="9016"/>
            </w:tabs>
            <w:rPr>
              <w:rFonts w:eastAsiaTheme="minorEastAsia"/>
              <w:noProof/>
              <w:lang w:eastAsia="en-GB"/>
            </w:rPr>
          </w:pPr>
          <w:hyperlink w:anchor="_Toc518386221" w:history="1">
            <w:r w:rsidR="00FC53F1" w:rsidRPr="0047614D">
              <w:rPr>
                <w:rStyle w:val="Hyperlink"/>
                <w:noProof/>
              </w:rPr>
              <w:t>8.2 NHS GP Health Service – Group Peer Support for GPs</w:t>
            </w:r>
            <w:r w:rsidR="00FC53F1">
              <w:rPr>
                <w:noProof/>
                <w:webHidden/>
              </w:rPr>
              <w:tab/>
            </w:r>
            <w:r w:rsidR="00FC53F1">
              <w:rPr>
                <w:noProof/>
                <w:webHidden/>
              </w:rPr>
              <w:fldChar w:fldCharType="begin"/>
            </w:r>
            <w:r w:rsidR="00FC53F1">
              <w:rPr>
                <w:noProof/>
                <w:webHidden/>
              </w:rPr>
              <w:instrText xml:space="preserve"> PAGEREF _Toc518386221 \h </w:instrText>
            </w:r>
            <w:r w:rsidR="00FC53F1">
              <w:rPr>
                <w:noProof/>
                <w:webHidden/>
              </w:rPr>
            </w:r>
            <w:r w:rsidR="00FC53F1">
              <w:rPr>
                <w:noProof/>
                <w:webHidden/>
              </w:rPr>
              <w:fldChar w:fldCharType="separate"/>
            </w:r>
            <w:r w:rsidR="0089255F">
              <w:rPr>
                <w:noProof/>
                <w:webHidden/>
              </w:rPr>
              <w:t>15</w:t>
            </w:r>
            <w:r w:rsidR="00FC53F1">
              <w:rPr>
                <w:noProof/>
                <w:webHidden/>
              </w:rPr>
              <w:fldChar w:fldCharType="end"/>
            </w:r>
          </w:hyperlink>
        </w:p>
        <w:p w14:paraId="4689DEA0" w14:textId="479F96D7" w:rsidR="00FC53F1" w:rsidRDefault="000C1CD2">
          <w:pPr>
            <w:pStyle w:val="TOC5"/>
            <w:tabs>
              <w:tab w:val="right" w:leader="dot" w:pos="9016"/>
            </w:tabs>
            <w:rPr>
              <w:rFonts w:eastAsiaTheme="minorEastAsia"/>
              <w:noProof/>
              <w:lang w:eastAsia="en-GB"/>
            </w:rPr>
          </w:pPr>
          <w:hyperlink w:anchor="_Toc518386222" w:history="1">
            <w:r w:rsidR="00FC53F1" w:rsidRPr="0047614D">
              <w:rPr>
                <w:rStyle w:val="Hyperlink"/>
                <w:noProof/>
              </w:rPr>
              <w:t>8.3 Health Education England (HEE)</w:t>
            </w:r>
            <w:r w:rsidR="00FC53F1">
              <w:rPr>
                <w:noProof/>
                <w:webHidden/>
              </w:rPr>
              <w:tab/>
            </w:r>
            <w:r w:rsidR="00FC53F1">
              <w:rPr>
                <w:noProof/>
                <w:webHidden/>
              </w:rPr>
              <w:fldChar w:fldCharType="begin"/>
            </w:r>
            <w:r w:rsidR="00FC53F1">
              <w:rPr>
                <w:noProof/>
                <w:webHidden/>
              </w:rPr>
              <w:instrText xml:space="preserve"> PAGEREF _Toc518386222 \h </w:instrText>
            </w:r>
            <w:r w:rsidR="00FC53F1">
              <w:rPr>
                <w:noProof/>
                <w:webHidden/>
              </w:rPr>
            </w:r>
            <w:r w:rsidR="00FC53F1">
              <w:rPr>
                <w:noProof/>
                <w:webHidden/>
              </w:rPr>
              <w:fldChar w:fldCharType="separate"/>
            </w:r>
            <w:r w:rsidR="0089255F">
              <w:rPr>
                <w:noProof/>
                <w:webHidden/>
              </w:rPr>
              <w:t>15</w:t>
            </w:r>
            <w:r w:rsidR="00FC53F1">
              <w:rPr>
                <w:noProof/>
                <w:webHidden/>
              </w:rPr>
              <w:fldChar w:fldCharType="end"/>
            </w:r>
          </w:hyperlink>
        </w:p>
        <w:p w14:paraId="322E825B" w14:textId="24041E5F" w:rsidR="00FC53F1" w:rsidRDefault="000C1CD2">
          <w:pPr>
            <w:pStyle w:val="TOC2"/>
            <w:tabs>
              <w:tab w:val="left" w:pos="660"/>
              <w:tab w:val="right" w:leader="dot" w:pos="9016"/>
            </w:tabs>
            <w:rPr>
              <w:rFonts w:eastAsiaTheme="minorEastAsia"/>
              <w:noProof/>
              <w:lang w:eastAsia="en-GB"/>
            </w:rPr>
          </w:pPr>
          <w:hyperlink w:anchor="_Toc518386223" w:history="1">
            <w:r w:rsidR="00FC53F1" w:rsidRPr="0047614D">
              <w:rPr>
                <w:rStyle w:val="Hyperlink"/>
                <w:noProof/>
              </w:rPr>
              <w:t>9.</w:t>
            </w:r>
            <w:r w:rsidR="00FC53F1">
              <w:rPr>
                <w:rFonts w:eastAsiaTheme="minorEastAsia"/>
                <w:noProof/>
                <w:lang w:eastAsia="en-GB"/>
              </w:rPr>
              <w:tab/>
            </w:r>
            <w:r w:rsidR="00FC53F1" w:rsidRPr="0047614D">
              <w:rPr>
                <w:rStyle w:val="Hyperlink"/>
                <w:noProof/>
              </w:rPr>
              <w:t>Recommendations</w:t>
            </w:r>
            <w:r w:rsidR="00FC53F1">
              <w:rPr>
                <w:noProof/>
                <w:webHidden/>
              </w:rPr>
              <w:tab/>
            </w:r>
            <w:r w:rsidR="00FC53F1">
              <w:rPr>
                <w:noProof/>
                <w:webHidden/>
              </w:rPr>
              <w:fldChar w:fldCharType="begin"/>
            </w:r>
            <w:r w:rsidR="00FC53F1">
              <w:rPr>
                <w:noProof/>
                <w:webHidden/>
              </w:rPr>
              <w:instrText xml:space="preserve"> PAGEREF _Toc518386223 \h </w:instrText>
            </w:r>
            <w:r w:rsidR="00FC53F1">
              <w:rPr>
                <w:noProof/>
                <w:webHidden/>
              </w:rPr>
            </w:r>
            <w:r w:rsidR="00FC53F1">
              <w:rPr>
                <w:noProof/>
                <w:webHidden/>
              </w:rPr>
              <w:fldChar w:fldCharType="separate"/>
            </w:r>
            <w:r w:rsidR="0089255F">
              <w:rPr>
                <w:noProof/>
                <w:webHidden/>
              </w:rPr>
              <w:t>16</w:t>
            </w:r>
            <w:r w:rsidR="00FC53F1">
              <w:rPr>
                <w:noProof/>
                <w:webHidden/>
              </w:rPr>
              <w:fldChar w:fldCharType="end"/>
            </w:r>
          </w:hyperlink>
        </w:p>
        <w:p w14:paraId="23B71D67" w14:textId="2F52F9B9" w:rsidR="00A21FDD" w:rsidRDefault="00A21FDD">
          <w:r>
            <w:fldChar w:fldCharType="end"/>
          </w:r>
        </w:p>
      </w:sdtContent>
    </w:sdt>
    <w:p w14:paraId="3989FE59" w14:textId="1420C21D" w:rsidR="00A21FDD" w:rsidRDefault="00A21FDD">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14:paraId="5F06883A" w14:textId="3D597508" w:rsidR="001712E8" w:rsidRDefault="001712E8" w:rsidP="00153285">
      <w:pPr>
        <w:pStyle w:val="Heading2"/>
        <w:numPr>
          <w:ilvl w:val="0"/>
          <w:numId w:val="5"/>
        </w:numPr>
      </w:pPr>
      <w:bookmarkStart w:id="1" w:name="_Toc518386205"/>
      <w:r>
        <w:lastRenderedPageBreak/>
        <w:t>Introduction</w:t>
      </w:r>
      <w:bookmarkEnd w:id="1"/>
    </w:p>
    <w:p w14:paraId="1C2A0605" w14:textId="77777777" w:rsidR="00AC1892" w:rsidRDefault="00AC1892" w:rsidP="00631612"/>
    <w:p w14:paraId="726C3812" w14:textId="5AD02F59" w:rsidR="001712E8" w:rsidRPr="00A90C03" w:rsidRDefault="001712E8" w:rsidP="001712E8">
      <w:r w:rsidRPr="00A90C03">
        <w:t xml:space="preserve">The evolution of General Practice is an essential component to meeting the aspirations of the NHS </w:t>
      </w:r>
      <w:r w:rsidRPr="00A90C03">
        <w:rPr>
          <w:i/>
        </w:rPr>
        <w:t>Five Year Forward View</w:t>
      </w:r>
      <w:r w:rsidRPr="00A90C03">
        <w:t xml:space="preserve"> </w:t>
      </w:r>
      <w:r w:rsidR="00893829">
        <w:t xml:space="preserve">and the </w:t>
      </w:r>
      <w:r w:rsidR="00893829" w:rsidRPr="00893829">
        <w:rPr>
          <w:i/>
        </w:rPr>
        <w:t>GP Forward View</w:t>
      </w:r>
      <w:r w:rsidR="00893829">
        <w:t xml:space="preserve"> </w:t>
      </w:r>
      <w:r w:rsidRPr="00A90C03">
        <w:t>- to centre care holistically on the needs of patients and populations and blur the boundaries between primary and secondary care; health and social care; physical and mental health.</w:t>
      </w:r>
      <w:r w:rsidR="003870CC">
        <w:t xml:space="preserve">  As the NHS works to establish a ten year plan, the role of General Practice and GPs will no doubt be central to a sustainable health service, although in what form remains to be seen.</w:t>
      </w:r>
    </w:p>
    <w:p w14:paraId="735EBCE1" w14:textId="5D5680FA" w:rsidR="00893829" w:rsidRDefault="00893829" w:rsidP="001712E8">
      <w:pPr>
        <w:rPr>
          <w:rFonts w:cstheme="minorHAnsi"/>
        </w:rPr>
      </w:pPr>
      <w:r>
        <w:rPr>
          <w:rFonts w:cstheme="minorHAnsi"/>
        </w:rPr>
        <w:t>The direction of travel in the many policy documents is about the integration of care across current boundaries</w:t>
      </w:r>
      <w:r w:rsidR="003870CC">
        <w:rPr>
          <w:rFonts w:cstheme="minorHAnsi"/>
        </w:rPr>
        <w:t xml:space="preserve"> and w</w:t>
      </w:r>
      <w:r>
        <w:rPr>
          <w:rFonts w:cstheme="minorHAnsi"/>
        </w:rPr>
        <w:t>ithin the many workforce policy documents the direction of travel is about new roles and skills to enable such integration.</w:t>
      </w:r>
    </w:p>
    <w:p w14:paraId="5A9EF094" w14:textId="53A60C6D" w:rsidR="003870CC" w:rsidRDefault="003870CC" w:rsidP="001712E8">
      <w:pPr>
        <w:rPr>
          <w:rFonts w:cstheme="minorHAnsi"/>
        </w:rPr>
      </w:pPr>
      <w:r>
        <w:rPr>
          <w:rFonts w:cstheme="minorHAnsi"/>
        </w:rPr>
        <w:t>With funding from Health Education England</w:t>
      </w:r>
      <w:r w:rsidR="00CF2E5D">
        <w:rPr>
          <w:rFonts w:cstheme="minorHAnsi"/>
        </w:rPr>
        <w:t xml:space="preserve"> (HEE)</w:t>
      </w:r>
      <w:r>
        <w:rPr>
          <w:rFonts w:cstheme="minorHAnsi"/>
        </w:rPr>
        <w:t>, Devon Doctors has established a project</w:t>
      </w:r>
      <w:r w:rsidR="00DD4904">
        <w:rPr>
          <w:rFonts w:cstheme="minorHAnsi"/>
        </w:rPr>
        <w:t xml:space="preserve"> working with the Royal Devon and Exeter NHS Foundation Trust</w:t>
      </w:r>
      <w:r>
        <w:rPr>
          <w:rFonts w:cstheme="minorHAnsi"/>
        </w:rPr>
        <w:t xml:space="preserve"> to look at the development of a portfolio role for GPs that will provide an opportunity to work across different healthcare settings.</w:t>
      </w:r>
    </w:p>
    <w:p w14:paraId="6210B7DA" w14:textId="601DEDF1" w:rsidR="00DD4904" w:rsidRDefault="00DD4904" w:rsidP="001712E8">
      <w:pPr>
        <w:rPr>
          <w:rFonts w:cstheme="minorHAnsi"/>
        </w:rPr>
      </w:pPr>
      <w:r>
        <w:rPr>
          <w:rFonts w:cstheme="minorHAnsi"/>
        </w:rPr>
        <w:t xml:space="preserve">This feasibility paper will outline the project scope, identify options for the development of a portfolio role, provide evidence to support the development of such roles, identify funding opportunities and suggest recommendations for further actions. </w:t>
      </w:r>
    </w:p>
    <w:p w14:paraId="3560DAB1" w14:textId="083A53C6" w:rsidR="00A21FDD" w:rsidRDefault="00A21FDD">
      <w:pPr>
        <w:rPr>
          <w:rFonts w:eastAsia="Times New Roman" w:cstheme="minorHAnsi"/>
        </w:rPr>
      </w:pPr>
      <w:r>
        <w:rPr>
          <w:rFonts w:cstheme="minorHAnsi"/>
        </w:rPr>
        <w:br w:type="page"/>
      </w:r>
    </w:p>
    <w:p w14:paraId="6C5BD4C3" w14:textId="222CFA5F" w:rsidR="00ED2F6F" w:rsidRDefault="00827A1C" w:rsidP="00ED2F6F">
      <w:pPr>
        <w:pStyle w:val="Heading2"/>
        <w:numPr>
          <w:ilvl w:val="0"/>
          <w:numId w:val="5"/>
        </w:numPr>
      </w:pPr>
      <w:bookmarkStart w:id="2" w:name="_Toc518386206"/>
      <w:r>
        <w:lastRenderedPageBreak/>
        <w:t>Project outline</w:t>
      </w:r>
      <w:bookmarkEnd w:id="2"/>
    </w:p>
    <w:p w14:paraId="3F357752" w14:textId="77777777" w:rsidR="00827A1C" w:rsidRDefault="00827A1C" w:rsidP="00827A1C"/>
    <w:p w14:paraId="6B31AD3A" w14:textId="17E8208D" w:rsidR="00827A1C" w:rsidRDefault="00827A1C" w:rsidP="00827A1C">
      <w:r>
        <w:t xml:space="preserve">Devon Doctors provide the Integrated Urgent Care Service (IUCS) for Devon which comprises NHS 111, the clinical assessment service and the out-of-hours GP service.  The service is a local Devon-based service and works very closely with other urgent care services.  Since the implementation of the IUCS in October 2016 Devon Doctors has noticed increasing workforce pressure within the GP population.  There is a perceptible shift away from traditional ways of working (partnership, salaried posts) and toward alternative portfolio opportunities.  Informal engagement has shown that GPs, particularly trainees, want the security of salaried work but do not feel they want to commit to a partnership or traditional salaried GP role. </w:t>
      </w:r>
    </w:p>
    <w:p w14:paraId="6BCF6B7A" w14:textId="77777777" w:rsidR="00827A1C" w:rsidRDefault="00827A1C" w:rsidP="00827A1C">
      <w:r>
        <w:t>The project, funded by HEE, will:</w:t>
      </w:r>
    </w:p>
    <w:p w14:paraId="0F5B0642" w14:textId="3CC7FB6D" w:rsidR="00827A1C" w:rsidRPr="004C4264" w:rsidRDefault="00827A1C" w:rsidP="00827A1C">
      <w:pPr>
        <w:pStyle w:val="ListParagraph"/>
        <w:numPr>
          <w:ilvl w:val="0"/>
          <w:numId w:val="23"/>
        </w:numPr>
        <w:tabs>
          <w:tab w:val="left" w:pos="709"/>
          <w:tab w:val="left" w:pos="3227"/>
        </w:tabs>
        <w:spacing w:after="120" w:line="264" w:lineRule="auto"/>
        <w:ind w:right="-6"/>
        <w:rPr>
          <w:rFonts w:ascii="Calibri" w:hAnsi="Calibri" w:cs="Calibri"/>
          <w:sz w:val="22"/>
          <w:szCs w:val="22"/>
        </w:rPr>
      </w:pPr>
      <w:r w:rsidRPr="004C4264">
        <w:rPr>
          <w:rFonts w:ascii="Calibri" w:hAnsi="Calibri" w:cs="Calibri"/>
          <w:sz w:val="22"/>
          <w:szCs w:val="22"/>
        </w:rPr>
        <w:t>look at the feasibility of a salaried portfolio role working across different health care settings</w:t>
      </w:r>
      <w:r w:rsidR="000105F8">
        <w:rPr>
          <w:rFonts w:ascii="Calibri" w:hAnsi="Calibri" w:cs="Calibri"/>
          <w:sz w:val="22"/>
          <w:szCs w:val="22"/>
        </w:rPr>
        <w:t xml:space="preserve"> (General Practice, Acute Trust and Integrated Urgent Care Service) </w:t>
      </w:r>
    </w:p>
    <w:p w14:paraId="320BCAD9" w14:textId="77777777" w:rsidR="00827A1C" w:rsidRPr="004C4264" w:rsidRDefault="00827A1C" w:rsidP="00827A1C">
      <w:pPr>
        <w:pStyle w:val="ListParagraph"/>
        <w:numPr>
          <w:ilvl w:val="0"/>
          <w:numId w:val="23"/>
        </w:numPr>
        <w:tabs>
          <w:tab w:val="left" w:pos="709"/>
          <w:tab w:val="left" w:pos="3227"/>
        </w:tabs>
        <w:spacing w:after="120" w:line="264" w:lineRule="auto"/>
        <w:ind w:right="-6"/>
        <w:rPr>
          <w:rFonts w:ascii="Calibri" w:hAnsi="Calibri" w:cs="Calibri"/>
          <w:sz w:val="22"/>
          <w:szCs w:val="22"/>
        </w:rPr>
      </w:pPr>
      <w:r w:rsidRPr="004C4264">
        <w:rPr>
          <w:rFonts w:ascii="Calibri" w:hAnsi="Calibri" w:cs="Calibri"/>
          <w:sz w:val="22"/>
          <w:szCs w:val="22"/>
        </w:rPr>
        <w:t>develop a salaried portfolio role job description (with accompanying job plan, salary and contract)</w:t>
      </w:r>
    </w:p>
    <w:p w14:paraId="0971BB81" w14:textId="77777777" w:rsidR="00827A1C" w:rsidRPr="004C4264" w:rsidRDefault="00827A1C" w:rsidP="00827A1C">
      <w:pPr>
        <w:pStyle w:val="ListParagraph"/>
        <w:numPr>
          <w:ilvl w:val="0"/>
          <w:numId w:val="23"/>
        </w:numPr>
        <w:tabs>
          <w:tab w:val="left" w:pos="709"/>
          <w:tab w:val="left" w:pos="3227"/>
        </w:tabs>
        <w:spacing w:after="120" w:line="264" w:lineRule="auto"/>
        <w:ind w:right="-6"/>
        <w:rPr>
          <w:rFonts w:ascii="Calibri" w:hAnsi="Calibri" w:cs="Calibri"/>
          <w:sz w:val="22"/>
          <w:szCs w:val="22"/>
        </w:rPr>
      </w:pPr>
      <w:r w:rsidRPr="004C4264">
        <w:rPr>
          <w:rFonts w:ascii="Calibri" w:hAnsi="Calibri" w:cs="Calibri"/>
          <w:sz w:val="22"/>
          <w:szCs w:val="22"/>
        </w:rPr>
        <w:t>outline how the impact of such a role could be evaluated.</w:t>
      </w:r>
    </w:p>
    <w:p w14:paraId="6B330114" w14:textId="77777777" w:rsidR="00827A1C" w:rsidRDefault="00827A1C" w:rsidP="00827A1C">
      <w:r>
        <w:t>The aims and objectives of developing a salaried portfolio role are:</w:t>
      </w:r>
    </w:p>
    <w:p w14:paraId="1EBD4578" w14:textId="77777777" w:rsidR="00827A1C" w:rsidRDefault="00827A1C" w:rsidP="00827A1C">
      <w:pPr>
        <w:pStyle w:val="ListParagraph"/>
        <w:numPr>
          <w:ilvl w:val="0"/>
          <w:numId w:val="23"/>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To develop a role that increases the workforce resilience of Integrated Urgent Care Services</w:t>
      </w:r>
    </w:p>
    <w:p w14:paraId="5E1EC0F8" w14:textId="77777777" w:rsidR="00827A1C" w:rsidRDefault="00827A1C" w:rsidP="00827A1C">
      <w:pPr>
        <w:pStyle w:val="ListParagraph"/>
        <w:numPr>
          <w:ilvl w:val="0"/>
          <w:numId w:val="23"/>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 xml:space="preserve">To develop a role in which the GP can interface between urgent and acute healthcare services across health settings for the benefit of patients and the health system </w:t>
      </w:r>
    </w:p>
    <w:p w14:paraId="5CDDC2A8" w14:textId="77777777" w:rsidR="00827A1C" w:rsidRDefault="00827A1C" w:rsidP="00827A1C">
      <w:pPr>
        <w:pStyle w:val="ListParagraph"/>
        <w:numPr>
          <w:ilvl w:val="0"/>
          <w:numId w:val="23"/>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To enhance the function of the GP within urgent and acute secondary care teams such as ED, Frailty and Paediatrics</w:t>
      </w:r>
    </w:p>
    <w:p w14:paraId="42819BB2" w14:textId="77777777" w:rsidR="00827A1C" w:rsidRDefault="00827A1C" w:rsidP="00827A1C">
      <w:pPr>
        <w:pStyle w:val="ListParagraph"/>
        <w:numPr>
          <w:ilvl w:val="0"/>
          <w:numId w:val="23"/>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To raise GP interest in urgent care and emergency medicine career paths</w:t>
      </w:r>
    </w:p>
    <w:p w14:paraId="013ECE64" w14:textId="77777777" w:rsidR="00827A1C" w:rsidRPr="004C4264" w:rsidRDefault="00827A1C" w:rsidP="00827A1C">
      <w:pPr>
        <w:pStyle w:val="ListParagraph"/>
        <w:numPr>
          <w:ilvl w:val="0"/>
          <w:numId w:val="23"/>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To design an attractive job role that will support urgent and emergency care system-wide recruitment and retention</w:t>
      </w:r>
    </w:p>
    <w:p w14:paraId="299A7672" w14:textId="7B4FB81C" w:rsidR="0000430F" w:rsidRDefault="00827A1C" w:rsidP="00827A1C">
      <w:r>
        <w:t>The project brief</w:t>
      </w:r>
      <w:r w:rsidR="00086FBC">
        <w:rPr>
          <w:rStyle w:val="FootnoteReference"/>
        </w:rPr>
        <w:footnoteReference w:id="1"/>
      </w:r>
      <w:r>
        <w:t xml:space="preserve"> provides a full explanation of the scope of this project.</w:t>
      </w:r>
    </w:p>
    <w:p w14:paraId="7BE5241F" w14:textId="3F746450" w:rsidR="004C4264" w:rsidRPr="004C4264" w:rsidRDefault="004C4264" w:rsidP="00827A1C">
      <w:pPr>
        <w:rPr>
          <w:rFonts w:ascii="Calibri" w:hAnsi="Calibri" w:cs="Calibri"/>
        </w:rPr>
      </w:pPr>
    </w:p>
    <w:p w14:paraId="236D8CF1" w14:textId="41455E82" w:rsidR="0000430F" w:rsidRDefault="0000430F" w:rsidP="00ED2F6F"/>
    <w:p w14:paraId="77F525FC" w14:textId="77777777" w:rsidR="0000430F" w:rsidRDefault="0000430F" w:rsidP="00ED2F6F"/>
    <w:p w14:paraId="7FDBA30D" w14:textId="16DDE19C" w:rsidR="00A21FDD" w:rsidRDefault="00A21FDD" w:rsidP="00805C59"/>
    <w:p w14:paraId="76969016" w14:textId="3A0F1041" w:rsidR="0026354D" w:rsidRDefault="00A21FDD" w:rsidP="0026354D">
      <w:pPr>
        <w:pStyle w:val="Heading2"/>
        <w:numPr>
          <w:ilvl w:val="0"/>
          <w:numId w:val="5"/>
        </w:numPr>
      </w:pPr>
      <w:r>
        <w:br w:type="page"/>
      </w:r>
      <w:bookmarkStart w:id="3" w:name="_Toc518386207"/>
      <w:r w:rsidR="00827A1C">
        <w:lastRenderedPageBreak/>
        <w:t>Current state analysis</w:t>
      </w:r>
      <w:r w:rsidR="003B3053">
        <w:t xml:space="preserve"> – GP</w:t>
      </w:r>
      <w:r w:rsidR="00C113E4">
        <w:t xml:space="preserve"> </w:t>
      </w:r>
      <w:r w:rsidR="003B3053">
        <w:t>career attitudes</w:t>
      </w:r>
      <w:r w:rsidR="00C113E4">
        <w:t xml:space="preserve"> and intentions</w:t>
      </w:r>
      <w:bookmarkEnd w:id="3"/>
    </w:p>
    <w:p w14:paraId="0922984D" w14:textId="77777777" w:rsidR="0026354D" w:rsidRDefault="0026354D" w:rsidP="0026354D"/>
    <w:p w14:paraId="4855B3CE" w14:textId="174B8F7E" w:rsidR="00086FBC" w:rsidRPr="003B3053" w:rsidRDefault="00827A1C" w:rsidP="0026354D">
      <w:pPr>
        <w:rPr>
          <w:rFonts w:ascii="Calibri" w:hAnsi="Calibri" w:cs="Calibri"/>
        </w:rPr>
      </w:pPr>
      <w:r>
        <w:t xml:space="preserve">This section of the report highlights the findings from </w:t>
      </w:r>
      <w:r w:rsidR="003B3053">
        <w:t xml:space="preserve">a </w:t>
      </w:r>
      <w:r>
        <w:t>desktop research exercis</w:t>
      </w:r>
      <w:r w:rsidR="003B3053">
        <w:t>e</w:t>
      </w:r>
      <w:r w:rsidR="00086FBC">
        <w:rPr>
          <w:rStyle w:val="FootnoteReference"/>
        </w:rPr>
        <w:footnoteReference w:id="2"/>
      </w:r>
      <w:r>
        <w:t xml:space="preserve"> looking at</w:t>
      </w:r>
      <w:r w:rsidR="003B3053">
        <w:t xml:space="preserve"> </w:t>
      </w:r>
      <w:r w:rsidR="00086FBC" w:rsidRPr="00086FBC">
        <w:rPr>
          <w:rFonts w:ascii="Calibri" w:hAnsi="Calibri" w:cs="Calibri"/>
        </w:rPr>
        <w:t>GP workforce attitudes toward current careers</w:t>
      </w:r>
      <w:r w:rsidR="003B3053">
        <w:rPr>
          <w:rFonts w:ascii="Calibri" w:hAnsi="Calibri" w:cs="Calibri"/>
        </w:rPr>
        <w:t xml:space="preserve">; a VTS focus group; and an </w:t>
      </w:r>
      <w:r w:rsidR="00086FBC">
        <w:t>online quantitative survey</w:t>
      </w:r>
      <w:r w:rsidR="00086FBC">
        <w:rPr>
          <w:rStyle w:val="FootnoteReference"/>
        </w:rPr>
        <w:footnoteReference w:id="3"/>
      </w:r>
      <w:r w:rsidR="00086FBC">
        <w:t xml:space="preserve"> with ST3s that show current attitudes toward portfolio working.</w:t>
      </w:r>
    </w:p>
    <w:p w14:paraId="5884A8B7" w14:textId="43FC63FB" w:rsidR="00086FBC" w:rsidRDefault="00086FBC" w:rsidP="00086FBC">
      <w:pPr>
        <w:pStyle w:val="Heading5"/>
      </w:pPr>
      <w:bookmarkStart w:id="4" w:name="_Toc518386208"/>
      <w:r>
        <w:t xml:space="preserve">3.1 </w:t>
      </w:r>
      <w:r w:rsidR="00020030">
        <w:t xml:space="preserve">Desktop research - </w:t>
      </w:r>
      <w:r w:rsidR="008D4678">
        <w:t>GP attitudes toward current and future careers</w:t>
      </w:r>
      <w:bookmarkEnd w:id="4"/>
    </w:p>
    <w:p w14:paraId="2E6C7685" w14:textId="5D462A96" w:rsidR="008D4678" w:rsidRDefault="008D4678" w:rsidP="008D4678">
      <w:r>
        <w:t xml:space="preserve">The desktop research exercise looked at two British Medical Association (BMA) workforce surveys, three research papers from Exeter Medical School and one research paper from </w:t>
      </w:r>
      <w:r w:rsidR="00FC53F1">
        <w:t xml:space="preserve">the </w:t>
      </w:r>
      <w:r>
        <w:t>University of Oxford.</w:t>
      </w:r>
    </w:p>
    <w:p w14:paraId="339B5C7A" w14:textId="5CC85038" w:rsidR="008D4678" w:rsidRDefault="00F0313C" w:rsidP="008D4678">
      <w:r>
        <w:t xml:space="preserve">The main findings </w:t>
      </w:r>
      <w:r w:rsidR="00020030">
        <w:t xml:space="preserve">from this research </w:t>
      </w:r>
      <w:r>
        <w:t>are below and indicate that a salaried portfolio role may be an attractive propos</w:t>
      </w:r>
      <w:r w:rsidR="00416AF6">
        <w:t>i</w:t>
      </w:r>
      <w:r>
        <w:t xml:space="preserve">tion </w:t>
      </w:r>
      <w:r w:rsidR="00020030">
        <w:t xml:space="preserve">that can </w:t>
      </w:r>
      <w:r>
        <w:t>provid</w:t>
      </w:r>
      <w:r w:rsidR="00020030">
        <w:t>e</w:t>
      </w:r>
      <w:r>
        <w:t xml:space="preserve"> the security of a salary and the benefits of varied work</w:t>
      </w:r>
      <w:r w:rsidR="00020030">
        <w:t xml:space="preserve"> – two factors that may help to both attract and retain GPs</w:t>
      </w:r>
      <w:r>
        <w:t>:</w:t>
      </w:r>
    </w:p>
    <w:p w14:paraId="7FC81C1F" w14:textId="77777777" w:rsidR="00F0313C" w:rsidRPr="00CF1267" w:rsidRDefault="00F0313C" w:rsidP="00F0313C">
      <w:pPr>
        <w:pStyle w:val="ListParagraph"/>
        <w:numPr>
          <w:ilvl w:val="0"/>
          <w:numId w:val="7"/>
        </w:numPr>
        <w:rPr>
          <w:rFonts w:asciiTheme="minorHAnsi" w:hAnsiTheme="minorHAnsi" w:cstheme="minorHAnsi"/>
          <w:sz w:val="22"/>
          <w:szCs w:val="22"/>
        </w:rPr>
      </w:pPr>
      <w:r w:rsidRPr="00AD6BF9">
        <w:rPr>
          <w:rFonts w:asciiTheme="minorHAnsi" w:hAnsiTheme="minorHAnsi" w:cstheme="minorHAnsi"/>
          <w:sz w:val="22"/>
          <w:szCs w:val="22"/>
        </w:rPr>
        <w:t>34% of partners think their role and responsibilities are too onerous such that they wish to explore alternative working options</w:t>
      </w:r>
    </w:p>
    <w:p w14:paraId="3AEBD73C" w14:textId="77777777" w:rsidR="00F0313C" w:rsidRPr="00AD6BF9" w:rsidRDefault="00F0313C" w:rsidP="00F0313C">
      <w:pPr>
        <w:pStyle w:val="ListParagraph"/>
        <w:numPr>
          <w:ilvl w:val="0"/>
          <w:numId w:val="7"/>
        </w:numPr>
        <w:rPr>
          <w:rFonts w:asciiTheme="minorHAnsi" w:hAnsiTheme="minorHAnsi" w:cstheme="minorHAnsi"/>
          <w:sz w:val="22"/>
          <w:szCs w:val="22"/>
        </w:rPr>
      </w:pPr>
      <w:r w:rsidRPr="00AD6BF9">
        <w:rPr>
          <w:rFonts w:asciiTheme="minorHAnsi" w:hAnsiTheme="minorHAnsi" w:cstheme="minorHAnsi"/>
          <w:sz w:val="22"/>
          <w:szCs w:val="22"/>
        </w:rPr>
        <w:t>30% of respondents would like to work as a portfolio GP</w:t>
      </w:r>
    </w:p>
    <w:p w14:paraId="04ACE9F3" w14:textId="77777777" w:rsidR="00F0313C" w:rsidRDefault="00F0313C" w:rsidP="00F0313C">
      <w:pPr>
        <w:pStyle w:val="ListParagraph"/>
        <w:numPr>
          <w:ilvl w:val="0"/>
          <w:numId w:val="7"/>
        </w:numPr>
        <w:rPr>
          <w:rFonts w:asciiTheme="minorHAnsi" w:hAnsiTheme="minorHAnsi" w:cstheme="minorHAnsi"/>
          <w:sz w:val="22"/>
          <w:szCs w:val="22"/>
        </w:rPr>
      </w:pPr>
      <w:r w:rsidRPr="00CF1267">
        <w:rPr>
          <w:rFonts w:asciiTheme="minorHAnsi" w:hAnsiTheme="minorHAnsi" w:cstheme="minorHAnsi"/>
          <w:sz w:val="22"/>
          <w:szCs w:val="22"/>
        </w:rPr>
        <w:t>Three in ten GPs described being a salaried GP as a positive career choice</w:t>
      </w:r>
    </w:p>
    <w:p w14:paraId="6F766A89" w14:textId="138B4953" w:rsidR="00F0313C" w:rsidRDefault="00F0313C" w:rsidP="00F0313C">
      <w:pPr>
        <w:pStyle w:val="ListParagraph"/>
        <w:numPr>
          <w:ilvl w:val="0"/>
          <w:numId w:val="7"/>
        </w:numPr>
        <w:rPr>
          <w:rFonts w:ascii="Calibri" w:hAnsi="Calibri" w:cs="Calibri"/>
          <w:color w:val="000000"/>
          <w:sz w:val="22"/>
          <w:szCs w:val="22"/>
        </w:rPr>
      </w:pPr>
      <w:r w:rsidRPr="00BE4771">
        <w:rPr>
          <w:rFonts w:ascii="Calibri" w:hAnsi="Calibri" w:cs="Calibri"/>
          <w:color w:val="000000"/>
          <w:sz w:val="22"/>
          <w:szCs w:val="22"/>
        </w:rPr>
        <w:t>Looking forward over five years, most respondents preferred career option would to be work as a portfolio GP</w:t>
      </w:r>
    </w:p>
    <w:p w14:paraId="52D998BD" w14:textId="77777777" w:rsidR="00020030" w:rsidRPr="00EE5299" w:rsidRDefault="00020030" w:rsidP="00020030">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20</w:t>
      </w:r>
      <w:r w:rsidRPr="00EE5299">
        <w:rPr>
          <w:rFonts w:asciiTheme="minorHAnsi" w:hAnsiTheme="minorHAnsi" w:cstheme="minorHAnsi"/>
          <w:sz w:val="22"/>
          <w:szCs w:val="22"/>
        </w:rPr>
        <w:t xml:space="preserve">% of GPs reported a high likelihood of quitting direct patient care within </w:t>
      </w:r>
      <w:r>
        <w:rPr>
          <w:rFonts w:asciiTheme="minorHAnsi" w:hAnsiTheme="minorHAnsi" w:cstheme="minorHAnsi"/>
          <w:sz w:val="22"/>
          <w:szCs w:val="22"/>
        </w:rPr>
        <w:t>2</w:t>
      </w:r>
      <w:r w:rsidRPr="00EE5299">
        <w:rPr>
          <w:rFonts w:asciiTheme="minorHAnsi" w:hAnsiTheme="minorHAnsi" w:cstheme="minorHAnsi"/>
          <w:sz w:val="22"/>
          <w:szCs w:val="22"/>
        </w:rPr>
        <w:t xml:space="preserve"> years</w:t>
      </w:r>
    </w:p>
    <w:p w14:paraId="00C55D16" w14:textId="77777777" w:rsidR="00020030" w:rsidRPr="00EE5299" w:rsidRDefault="00020030" w:rsidP="00020030">
      <w:pPr>
        <w:pStyle w:val="ListParagraph"/>
        <w:numPr>
          <w:ilvl w:val="0"/>
          <w:numId w:val="7"/>
        </w:numPr>
        <w:rPr>
          <w:rFonts w:asciiTheme="minorHAnsi" w:hAnsiTheme="minorHAnsi" w:cstheme="minorHAnsi"/>
          <w:sz w:val="22"/>
          <w:szCs w:val="22"/>
        </w:rPr>
      </w:pPr>
      <w:r w:rsidRPr="00EE5299">
        <w:rPr>
          <w:rFonts w:asciiTheme="minorHAnsi" w:hAnsiTheme="minorHAnsi" w:cstheme="minorHAnsi"/>
          <w:sz w:val="22"/>
          <w:szCs w:val="22"/>
        </w:rPr>
        <w:t>37% of GPs reported a high likelihood of quitting direct patient care within 5 years</w:t>
      </w:r>
    </w:p>
    <w:p w14:paraId="2E90C0FA" w14:textId="77777777" w:rsidR="00020030" w:rsidRDefault="00020030" w:rsidP="00020030">
      <w:pPr>
        <w:pStyle w:val="ListParagraph"/>
        <w:numPr>
          <w:ilvl w:val="0"/>
          <w:numId w:val="7"/>
        </w:numPr>
        <w:rPr>
          <w:rFonts w:asciiTheme="minorHAnsi" w:hAnsiTheme="minorHAnsi" w:cstheme="minorHAnsi"/>
          <w:sz w:val="22"/>
          <w:szCs w:val="22"/>
        </w:rPr>
      </w:pPr>
      <w:r w:rsidRPr="00EE5299">
        <w:rPr>
          <w:rFonts w:asciiTheme="minorHAnsi" w:hAnsiTheme="minorHAnsi" w:cstheme="minorHAnsi"/>
          <w:sz w:val="22"/>
          <w:szCs w:val="22"/>
        </w:rPr>
        <w:t>70% of GPs reported a career intention that, if implemented, would negatively impact GP workforce capacity and availability in the next 5 years</w:t>
      </w:r>
    </w:p>
    <w:p w14:paraId="02480234" w14:textId="77777777" w:rsidR="00020030" w:rsidRDefault="00020030" w:rsidP="00020030">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57% of GPs reported they are likely or very likely to reduce working hours</w:t>
      </w:r>
    </w:p>
    <w:p w14:paraId="6188A973" w14:textId="77777777" w:rsidR="00020030" w:rsidRDefault="00020030" w:rsidP="00020030">
      <w:pPr>
        <w:pStyle w:val="ListParagraph"/>
        <w:rPr>
          <w:rFonts w:ascii="Calibri" w:hAnsi="Calibri" w:cs="Calibri"/>
          <w:color w:val="000000"/>
          <w:sz w:val="22"/>
          <w:szCs w:val="22"/>
        </w:rPr>
      </w:pPr>
    </w:p>
    <w:p w14:paraId="0C36DA66" w14:textId="2E86E5B3" w:rsidR="00020030" w:rsidRDefault="00020030" w:rsidP="00020030">
      <w:pPr>
        <w:pStyle w:val="Heading5"/>
      </w:pPr>
      <w:bookmarkStart w:id="5" w:name="_Toc518386209"/>
      <w:r>
        <w:t>3.2 VTS Focus Group – GP Trainees’ attitudes toward portfolio working</w:t>
      </w:r>
      <w:bookmarkEnd w:id="5"/>
    </w:p>
    <w:p w14:paraId="64CE4A09" w14:textId="77777777" w:rsidR="00020030" w:rsidRDefault="00020030" w:rsidP="00020030">
      <w:r>
        <w:t>A focus group was held with 23 GP trainees from Exeter with the objectives of:</w:t>
      </w:r>
    </w:p>
    <w:p w14:paraId="58FB176E" w14:textId="77777777" w:rsidR="00020030" w:rsidRPr="001A586C" w:rsidRDefault="00020030" w:rsidP="00020030">
      <w:pPr>
        <w:pStyle w:val="ListParagraph"/>
        <w:numPr>
          <w:ilvl w:val="0"/>
          <w:numId w:val="14"/>
        </w:numPr>
        <w:rPr>
          <w:rFonts w:asciiTheme="minorHAnsi" w:hAnsiTheme="minorHAnsi" w:cstheme="minorHAnsi"/>
          <w:sz w:val="22"/>
          <w:szCs w:val="22"/>
        </w:rPr>
      </w:pPr>
      <w:r w:rsidRPr="001A586C">
        <w:rPr>
          <w:rFonts w:asciiTheme="minorHAnsi" w:hAnsiTheme="minorHAnsi" w:cstheme="minorHAnsi"/>
          <w:sz w:val="22"/>
          <w:szCs w:val="22"/>
        </w:rPr>
        <w:t>Introducing the GP Portfolio Role development work</w:t>
      </w:r>
    </w:p>
    <w:p w14:paraId="33BEC0D6" w14:textId="77777777" w:rsidR="00020030" w:rsidRPr="001A586C" w:rsidRDefault="00020030" w:rsidP="00020030">
      <w:pPr>
        <w:pStyle w:val="ListParagraph"/>
        <w:numPr>
          <w:ilvl w:val="0"/>
          <w:numId w:val="14"/>
        </w:numPr>
        <w:rPr>
          <w:rFonts w:asciiTheme="minorHAnsi" w:hAnsiTheme="minorHAnsi" w:cstheme="minorHAnsi"/>
          <w:sz w:val="22"/>
          <w:szCs w:val="22"/>
        </w:rPr>
      </w:pPr>
      <w:r w:rsidRPr="001A586C">
        <w:rPr>
          <w:rFonts w:asciiTheme="minorHAnsi" w:hAnsiTheme="minorHAnsi" w:cstheme="minorHAnsi"/>
          <w:sz w:val="22"/>
          <w:szCs w:val="22"/>
        </w:rPr>
        <w:t>G</w:t>
      </w:r>
      <w:r>
        <w:rPr>
          <w:rFonts w:asciiTheme="minorHAnsi" w:hAnsiTheme="minorHAnsi" w:cstheme="minorHAnsi"/>
          <w:sz w:val="22"/>
          <w:szCs w:val="22"/>
        </w:rPr>
        <w:t>aining</w:t>
      </w:r>
      <w:r w:rsidRPr="001A586C">
        <w:rPr>
          <w:rFonts w:asciiTheme="minorHAnsi" w:hAnsiTheme="minorHAnsi" w:cstheme="minorHAnsi"/>
          <w:sz w:val="22"/>
          <w:szCs w:val="22"/>
        </w:rPr>
        <w:t xml:space="preserve"> insight from GP trainees about what makes portfolio working attractive</w:t>
      </w:r>
    </w:p>
    <w:p w14:paraId="37F89E78" w14:textId="77777777" w:rsidR="00020030" w:rsidRDefault="00020030" w:rsidP="00020030">
      <w:pPr>
        <w:pStyle w:val="ListParagraph"/>
        <w:numPr>
          <w:ilvl w:val="0"/>
          <w:numId w:val="14"/>
        </w:numPr>
        <w:rPr>
          <w:rFonts w:asciiTheme="minorHAnsi" w:hAnsiTheme="minorHAnsi" w:cstheme="minorHAnsi"/>
          <w:sz w:val="22"/>
          <w:szCs w:val="22"/>
        </w:rPr>
      </w:pPr>
      <w:r w:rsidRPr="001A586C">
        <w:rPr>
          <w:rFonts w:asciiTheme="minorHAnsi" w:hAnsiTheme="minorHAnsi" w:cstheme="minorHAnsi"/>
          <w:sz w:val="22"/>
          <w:szCs w:val="22"/>
        </w:rPr>
        <w:t>Understanding what support GP trainees may want as part of their first role</w:t>
      </w:r>
    </w:p>
    <w:p w14:paraId="66574764" w14:textId="77777777" w:rsidR="00020030" w:rsidRDefault="00020030" w:rsidP="00020030"/>
    <w:p w14:paraId="69C8E2FE" w14:textId="44B17160" w:rsidR="00020030" w:rsidRDefault="00020030" w:rsidP="00020030">
      <w:r>
        <w:t>The focus group explored factors that make portfolio working attractive with common themes emerging across the group:</w:t>
      </w:r>
    </w:p>
    <w:p w14:paraId="5AB92A06" w14:textId="3CC52315" w:rsidR="00020030" w:rsidRPr="00722FAD" w:rsidRDefault="00020030" w:rsidP="00020030">
      <w:pPr>
        <w:pStyle w:val="ListParagraph"/>
        <w:numPr>
          <w:ilvl w:val="0"/>
          <w:numId w:val="14"/>
        </w:numPr>
        <w:rPr>
          <w:rFonts w:asciiTheme="minorHAnsi" w:hAnsiTheme="minorHAnsi" w:cstheme="minorHAnsi"/>
          <w:sz w:val="22"/>
          <w:szCs w:val="22"/>
        </w:rPr>
      </w:pPr>
      <w:r w:rsidRPr="00722FAD">
        <w:rPr>
          <w:rFonts w:asciiTheme="minorHAnsi" w:hAnsiTheme="minorHAnsi" w:cstheme="minorHAnsi"/>
          <w:sz w:val="22"/>
          <w:szCs w:val="22"/>
        </w:rPr>
        <w:t>Flexibility of sessions</w:t>
      </w:r>
      <w:r w:rsidR="003B41F4">
        <w:rPr>
          <w:rFonts w:asciiTheme="minorHAnsi" w:hAnsiTheme="minorHAnsi" w:cstheme="minorHAnsi"/>
          <w:sz w:val="22"/>
          <w:szCs w:val="22"/>
        </w:rPr>
        <w:t xml:space="preserve"> (not one group member expected to work full time hours)</w:t>
      </w:r>
    </w:p>
    <w:p w14:paraId="0C8E1CC6" w14:textId="77777777" w:rsidR="00020030" w:rsidRPr="00722FAD" w:rsidRDefault="00020030" w:rsidP="00020030">
      <w:pPr>
        <w:pStyle w:val="ListParagraph"/>
        <w:numPr>
          <w:ilvl w:val="0"/>
          <w:numId w:val="14"/>
        </w:numPr>
        <w:rPr>
          <w:rFonts w:asciiTheme="minorHAnsi" w:hAnsiTheme="minorHAnsi" w:cstheme="minorHAnsi"/>
          <w:sz w:val="22"/>
          <w:szCs w:val="22"/>
        </w:rPr>
      </w:pPr>
      <w:r w:rsidRPr="00722FAD">
        <w:rPr>
          <w:rFonts w:asciiTheme="minorHAnsi" w:hAnsiTheme="minorHAnsi" w:cstheme="minorHAnsi"/>
          <w:sz w:val="22"/>
          <w:szCs w:val="22"/>
        </w:rPr>
        <w:t>Choice of where and how to work as a GP (in-hours General Practice, out of hours, expedition doctor, prison doctor</w:t>
      </w:r>
      <w:r>
        <w:rPr>
          <w:rFonts w:asciiTheme="minorHAnsi" w:hAnsiTheme="minorHAnsi" w:cstheme="minorHAnsi"/>
          <w:sz w:val="22"/>
          <w:szCs w:val="22"/>
        </w:rPr>
        <w:t>, acute setting</w:t>
      </w:r>
      <w:r w:rsidRPr="00722FAD">
        <w:rPr>
          <w:rFonts w:asciiTheme="minorHAnsi" w:hAnsiTheme="minorHAnsi" w:cstheme="minorHAnsi"/>
          <w:sz w:val="22"/>
          <w:szCs w:val="22"/>
        </w:rPr>
        <w:t>)</w:t>
      </w:r>
    </w:p>
    <w:p w14:paraId="42F27D52" w14:textId="77777777" w:rsidR="00020030" w:rsidRPr="00722FAD" w:rsidRDefault="00020030" w:rsidP="00020030">
      <w:pPr>
        <w:pStyle w:val="ListParagraph"/>
        <w:numPr>
          <w:ilvl w:val="0"/>
          <w:numId w:val="14"/>
        </w:numPr>
        <w:rPr>
          <w:rFonts w:asciiTheme="minorHAnsi" w:hAnsiTheme="minorHAnsi" w:cstheme="minorHAnsi"/>
          <w:sz w:val="22"/>
          <w:szCs w:val="22"/>
        </w:rPr>
      </w:pPr>
      <w:r w:rsidRPr="00722FAD">
        <w:rPr>
          <w:rFonts w:asciiTheme="minorHAnsi" w:hAnsiTheme="minorHAnsi" w:cstheme="minorHAnsi"/>
          <w:sz w:val="22"/>
          <w:szCs w:val="22"/>
        </w:rPr>
        <w:t>Good salary and earning potential</w:t>
      </w:r>
    </w:p>
    <w:p w14:paraId="6BBE7EC4" w14:textId="77777777" w:rsidR="00020030" w:rsidRPr="00722FAD" w:rsidRDefault="00020030" w:rsidP="00020030">
      <w:pPr>
        <w:pStyle w:val="ListParagraph"/>
        <w:numPr>
          <w:ilvl w:val="0"/>
          <w:numId w:val="14"/>
        </w:numPr>
        <w:rPr>
          <w:rFonts w:asciiTheme="minorHAnsi" w:hAnsiTheme="minorHAnsi" w:cstheme="minorHAnsi"/>
          <w:sz w:val="22"/>
          <w:szCs w:val="22"/>
        </w:rPr>
      </w:pPr>
      <w:r w:rsidRPr="00722FAD">
        <w:rPr>
          <w:rFonts w:asciiTheme="minorHAnsi" w:hAnsiTheme="minorHAnsi" w:cstheme="minorHAnsi"/>
          <w:sz w:val="22"/>
          <w:szCs w:val="22"/>
        </w:rPr>
        <w:t>Autonomous role / independent decision making</w:t>
      </w:r>
    </w:p>
    <w:p w14:paraId="06120617" w14:textId="77777777" w:rsidR="00020030" w:rsidRPr="00722FAD" w:rsidRDefault="00020030" w:rsidP="00020030">
      <w:pPr>
        <w:pStyle w:val="ListParagraph"/>
        <w:numPr>
          <w:ilvl w:val="0"/>
          <w:numId w:val="14"/>
        </w:numPr>
        <w:rPr>
          <w:rFonts w:asciiTheme="minorHAnsi" w:hAnsiTheme="minorHAnsi" w:cstheme="minorHAnsi"/>
          <w:sz w:val="22"/>
          <w:szCs w:val="22"/>
        </w:rPr>
      </w:pPr>
      <w:r w:rsidRPr="00722FAD">
        <w:rPr>
          <w:rFonts w:asciiTheme="minorHAnsi" w:hAnsiTheme="minorHAnsi" w:cstheme="minorHAnsi"/>
          <w:sz w:val="22"/>
          <w:szCs w:val="22"/>
        </w:rPr>
        <w:t>Variety of work and opportunity</w:t>
      </w:r>
    </w:p>
    <w:p w14:paraId="7C804E95" w14:textId="77777777" w:rsidR="00020030" w:rsidRPr="00722FAD" w:rsidRDefault="00020030" w:rsidP="00020030">
      <w:pPr>
        <w:pStyle w:val="ListParagraph"/>
        <w:numPr>
          <w:ilvl w:val="0"/>
          <w:numId w:val="14"/>
        </w:numPr>
        <w:rPr>
          <w:rFonts w:asciiTheme="minorHAnsi" w:hAnsiTheme="minorHAnsi" w:cstheme="minorHAnsi"/>
          <w:sz w:val="22"/>
          <w:szCs w:val="22"/>
        </w:rPr>
      </w:pPr>
      <w:r w:rsidRPr="00722FAD">
        <w:rPr>
          <w:rFonts w:asciiTheme="minorHAnsi" w:hAnsiTheme="minorHAnsi" w:cstheme="minorHAnsi"/>
          <w:sz w:val="22"/>
          <w:szCs w:val="22"/>
        </w:rPr>
        <w:t>The ability to intercept health problems at an early stage</w:t>
      </w:r>
    </w:p>
    <w:p w14:paraId="6153AD1A" w14:textId="77777777" w:rsidR="00020030" w:rsidRDefault="00020030" w:rsidP="00020030">
      <w:pPr>
        <w:pStyle w:val="ListParagraph"/>
        <w:numPr>
          <w:ilvl w:val="0"/>
          <w:numId w:val="14"/>
        </w:numPr>
        <w:rPr>
          <w:rFonts w:asciiTheme="minorHAnsi" w:hAnsiTheme="minorHAnsi" w:cstheme="minorHAnsi"/>
          <w:sz w:val="22"/>
          <w:szCs w:val="22"/>
        </w:rPr>
      </w:pPr>
      <w:r w:rsidRPr="00722FAD">
        <w:rPr>
          <w:rFonts w:asciiTheme="minorHAnsi" w:hAnsiTheme="minorHAnsi" w:cstheme="minorHAnsi"/>
          <w:sz w:val="22"/>
          <w:szCs w:val="22"/>
        </w:rPr>
        <w:t>The opportunity to develop a special interest</w:t>
      </w:r>
    </w:p>
    <w:p w14:paraId="6224ABC4" w14:textId="77777777" w:rsidR="00020030" w:rsidRPr="00722FAD" w:rsidRDefault="00020030" w:rsidP="00020030">
      <w:pPr>
        <w:pStyle w:val="ListParagraph"/>
        <w:numPr>
          <w:ilvl w:val="0"/>
          <w:numId w:val="14"/>
        </w:numPr>
        <w:rPr>
          <w:rFonts w:asciiTheme="minorHAnsi" w:hAnsiTheme="minorHAnsi" w:cstheme="minorHAnsi"/>
          <w:sz w:val="22"/>
          <w:szCs w:val="22"/>
        </w:rPr>
      </w:pPr>
      <w:r w:rsidRPr="00722FAD">
        <w:rPr>
          <w:rFonts w:asciiTheme="minorHAnsi" w:hAnsiTheme="minorHAnsi" w:cstheme="minorHAnsi"/>
          <w:sz w:val="22"/>
          <w:szCs w:val="22"/>
        </w:rPr>
        <w:t>To be a patient’s first ‘port of call’</w:t>
      </w:r>
    </w:p>
    <w:p w14:paraId="33DE5891" w14:textId="77777777" w:rsidR="00020030" w:rsidRPr="00722FAD" w:rsidRDefault="00020030" w:rsidP="00020030">
      <w:pPr>
        <w:pStyle w:val="ListParagraph"/>
        <w:numPr>
          <w:ilvl w:val="0"/>
          <w:numId w:val="14"/>
        </w:numPr>
        <w:rPr>
          <w:rFonts w:asciiTheme="minorHAnsi" w:hAnsiTheme="minorHAnsi" w:cstheme="minorHAnsi"/>
          <w:sz w:val="22"/>
          <w:szCs w:val="22"/>
        </w:rPr>
      </w:pPr>
      <w:r w:rsidRPr="00722FAD">
        <w:rPr>
          <w:rFonts w:asciiTheme="minorHAnsi" w:hAnsiTheme="minorHAnsi" w:cstheme="minorHAnsi"/>
          <w:sz w:val="22"/>
          <w:szCs w:val="22"/>
        </w:rPr>
        <w:t>No night shifts</w:t>
      </w:r>
    </w:p>
    <w:p w14:paraId="73F88EC3" w14:textId="77777777" w:rsidR="00020030" w:rsidRDefault="00020030" w:rsidP="00020030"/>
    <w:p w14:paraId="2189B1BF" w14:textId="05F44BA3" w:rsidR="00020030" w:rsidRDefault="00020030" w:rsidP="00020030">
      <w:r>
        <w:t xml:space="preserve">When asked specifically about a </w:t>
      </w:r>
      <w:r w:rsidR="003B41F4">
        <w:t>‘</w:t>
      </w:r>
      <w:r>
        <w:t>salaried</w:t>
      </w:r>
      <w:r w:rsidR="003B41F4">
        <w:t>’</w:t>
      </w:r>
      <w:r>
        <w:t xml:space="preserve"> portfolio role the group concurred that this sounded like an easy option, that having the hard work of contracting, indemnity and tax dealt with by one organisation was an attractive proposition.</w:t>
      </w:r>
      <w:r w:rsidR="003B41F4">
        <w:t xml:space="preserve"> </w:t>
      </w:r>
    </w:p>
    <w:p w14:paraId="3A74BD3C" w14:textId="77777777" w:rsidR="00020030" w:rsidRDefault="00020030" w:rsidP="00020030">
      <w:r>
        <w:t>The group also suggested that having the ability to incorporate research, teaching and training into a portfolio role would be of interest.</w:t>
      </w:r>
    </w:p>
    <w:p w14:paraId="2B8C8043" w14:textId="77777777" w:rsidR="00020030" w:rsidRDefault="00020030" w:rsidP="00020030">
      <w:r>
        <w:t xml:space="preserve">When asked specifically about salary </w:t>
      </w:r>
      <w:proofErr w:type="gramStart"/>
      <w:r>
        <w:t>the majority of</w:t>
      </w:r>
      <w:proofErr w:type="gramEnd"/>
      <w:r>
        <w:t xml:space="preserve"> the group thought £60,000-£70,000 was a reasonable salary for a first role post-qualification and that £9,000 per session (annualised) was in line with expectations.</w:t>
      </w:r>
    </w:p>
    <w:p w14:paraId="48215F88" w14:textId="77777777" w:rsidR="00020030" w:rsidRDefault="00020030" w:rsidP="00020030">
      <w:r>
        <w:t>Three questions were raised about the concept of a salaried portfolio role:</w:t>
      </w:r>
    </w:p>
    <w:p w14:paraId="435AD267" w14:textId="77777777" w:rsidR="00020030" w:rsidRPr="009C0C27" w:rsidRDefault="00020030" w:rsidP="00020030">
      <w:pPr>
        <w:pStyle w:val="ListParagraph"/>
        <w:numPr>
          <w:ilvl w:val="0"/>
          <w:numId w:val="14"/>
        </w:numPr>
        <w:rPr>
          <w:rFonts w:asciiTheme="minorHAnsi" w:hAnsiTheme="minorHAnsi" w:cstheme="minorHAnsi"/>
          <w:sz w:val="22"/>
          <w:szCs w:val="22"/>
        </w:rPr>
      </w:pPr>
      <w:r w:rsidRPr="009C0C27">
        <w:rPr>
          <w:rFonts w:asciiTheme="minorHAnsi" w:hAnsiTheme="minorHAnsi" w:cstheme="minorHAnsi"/>
          <w:sz w:val="22"/>
          <w:szCs w:val="22"/>
        </w:rPr>
        <w:t xml:space="preserve">Flexibility – how flexible would a salaried </w:t>
      </w:r>
      <w:r>
        <w:rPr>
          <w:rFonts w:asciiTheme="minorHAnsi" w:hAnsiTheme="minorHAnsi" w:cstheme="minorHAnsi"/>
          <w:sz w:val="22"/>
          <w:szCs w:val="22"/>
        </w:rPr>
        <w:t xml:space="preserve">role </w:t>
      </w:r>
      <w:proofErr w:type="gramStart"/>
      <w:r w:rsidRPr="009C0C27">
        <w:rPr>
          <w:rFonts w:asciiTheme="minorHAnsi" w:hAnsiTheme="minorHAnsi" w:cstheme="minorHAnsi"/>
          <w:sz w:val="22"/>
          <w:szCs w:val="22"/>
        </w:rPr>
        <w:t>be</w:t>
      </w:r>
      <w:proofErr w:type="gramEnd"/>
      <w:r w:rsidRPr="009C0C27">
        <w:rPr>
          <w:rFonts w:asciiTheme="minorHAnsi" w:hAnsiTheme="minorHAnsi" w:cstheme="minorHAnsi"/>
          <w:sz w:val="22"/>
          <w:szCs w:val="22"/>
        </w:rPr>
        <w:t xml:space="preserve"> and would there be the opportunity to ‘take time out whenever’</w:t>
      </w:r>
    </w:p>
    <w:p w14:paraId="0E4685C6" w14:textId="77777777" w:rsidR="00020030" w:rsidRDefault="00020030" w:rsidP="00020030">
      <w:pPr>
        <w:pStyle w:val="ListParagraph"/>
        <w:numPr>
          <w:ilvl w:val="0"/>
          <w:numId w:val="14"/>
        </w:numPr>
        <w:rPr>
          <w:rFonts w:asciiTheme="minorHAnsi" w:hAnsiTheme="minorHAnsi" w:cstheme="minorHAnsi"/>
          <w:sz w:val="22"/>
          <w:szCs w:val="22"/>
        </w:rPr>
      </w:pPr>
      <w:r w:rsidRPr="009C0C27">
        <w:rPr>
          <w:rFonts w:asciiTheme="minorHAnsi" w:hAnsiTheme="minorHAnsi" w:cstheme="minorHAnsi"/>
          <w:sz w:val="22"/>
          <w:szCs w:val="22"/>
        </w:rPr>
        <w:t>Progression – how would a GP progress in a salaried portfolio role</w:t>
      </w:r>
    </w:p>
    <w:p w14:paraId="7220990F" w14:textId="4286B3ED" w:rsidR="00020030" w:rsidRPr="00020030" w:rsidRDefault="00020030" w:rsidP="00020030">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GP Surgery – would there be the option for a GP to choose their surgery</w:t>
      </w:r>
    </w:p>
    <w:p w14:paraId="5AB9EA73" w14:textId="77777777" w:rsidR="0056001B" w:rsidRDefault="0056001B" w:rsidP="008D4678">
      <w:pPr>
        <w:rPr>
          <w:rFonts w:cstheme="minorHAnsi"/>
        </w:rPr>
      </w:pPr>
    </w:p>
    <w:p w14:paraId="6C5D1E01" w14:textId="0BF1EA65" w:rsidR="003B41F4" w:rsidRDefault="0056001B" w:rsidP="008D4678">
      <w:r>
        <w:rPr>
          <w:rFonts w:cstheme="minorHAnsi"/>
        </w:rPr>
        <w:t>When asked about the type of support that might be helpful the group suggested mentoring, the use of Balint groups, peer support and formal CPD arrangements.</w:t>
      </w:r>
    </w:p>
    <w:p w14:paraId="4FD9F466" w14:textId="5C677C24" w:rsidR="003B41F4" w:rsidRDefault="003B41F4" w:rsidP="008D4678">
      <w:r>
        <w:t xml:space="preserve">The focus group has indicated that portfolio working </w:t>
      </w:r>
      <w:r w:rsidR="00FE0973">
        <w:t>is considered</w:t>
      </w:r>
      <w:r>
        <w:t xml:space="preserve"> a viable career option </w:t>
      </w:r>
      <w:r w:rsidR="00FE0973">
        <w:t xml:space="preserve">by ST3 trainees </w:t>
      </w:r>
      <w:r>
        <w:t>and has also provided insight around factors that would make a portfolio role successful.</w:t>
      </w:r>
    </w:p>
    <w:p w14:paraId="5381D27E" w14:textId="6DE39F42" w:rsidR="003B41F4" w:rsidRDefault="003B41F4" w:rsidP="003B41F4">
      <w:pPr>
        <w:pStyle w:val="Heading5"/>
      </w:pPr>
      <w:bookmarkStart w:id="6" w:name="_Toc518386210"/>
      <w:r>
        <w:t>3.</w:t>
      </w:r>
      <w:r w:rsidR="003B3053">
        <w:t>3</w:t>
      </w:r>
      <w:r>
        <w:t xml:space="preserve"> ST3 Trainees Online Survey – </w:t>
      </w:r>
      <w:r w:rsidR="0056001B">
        <w:t>portfolio working preferences</w:t>
      </w:r>
      <w:bookmarkEnd w:id="6"/>
    </w:p>
    <w:p w14:paraId="2E186D25" w14:textId="77777777" w:rsidR="0056001B" w:rsidRDefault="0056001B">
      <w:r>
        <w:t>Following the VTS focus group an online survey was designed and made available to all ST3 trainees in Exeter and Plymouth with the objective of understanding attitudes and preferences in relation to GP portfolio working.  The survey was made available via SurveyMonkey to 66 trainees (35 trainees in Exeter and 31 trainees in Plymouth) for a period of 6 weeks with one reminder email being sent during that time.  A 38% response rate was achieved equating to 25 individual responses.</w:t>
      </w:r>
    </w:p>
    <w:p w14:paraId="02E5EDBC" w14:textId="2C77B13D" w:rsidR="0056001B" w:rsidRDefault="0056001B" w:rsidP="0056001B">
      <w:r>
        <w:t xml:space="preserve">Key findings from the online survey are: </w:t>
      </w:r>
    </w:p>
    <w:p w14:paraId="6D4FAAD9" w14:textId="77777777" w:rsidR="0056001B" w:rsidRPr="0056001B" w:rsidRDefault="0056001B" w:rsidP="0056001B">
      <w:pPr>
        <w:pStyle w:val="ListParagraph"/>
        <w:numPr>
          <w:ilvl w:val="0"/>
          <w:numId w:val="7"/>
        </w:numPr>
        <w:rPr>
          <w:rFonts w:asciiTheme="minorHAnsi" w:hAnsiTheme="minorHAnsi" w:cstheme="minorHAnsi"/>
          <w:sz w:val="22"/>
          <w:szCs w:val="22"/>
        </w:rPr>
      </w:pPr>
      <w:r w:rsidRPr="0056001B">
        <w:rPr>
          <w:rFonts w:asciiTheme="minorHAnsi" w:hAnsiTheme="minorHAnsi" w:cstheme="minorHAnsi"/>
          <w:sz w:val="22"/>
          <w:szCs w:val="22"/>
        </w:rPr>
        <w:t>92% stated that portfolio work would be of interest</w:t>
      </w:r>
    </w:p>
    <w:p w14:paraId="7A1FDF68" w14:textId="218C8CE8" w:rsidR="0056001B" w:rsidRPr="0056001B" w:rsidRDefault="003B3053" w:rsidP="0056001B">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The t</w:t>
      </w:r>
      <w:r w:rsidR="0056001B" w:rsidRPr="0056001B">
        <w:rPr>
          <w:rFonts w:asciiTheme="minorHAnsi" w:hAnsiTheme="minorHAnsi" w:cstheme="minorHAnsi"/>
          <w:sz w:val="22"/>
          <w:szCs w:val="22"/>
        </w:rPr>
        <w:t xml:space="preserve">op three factors that make portfolio working attractive are variety of work and opportunity (87%), work life balance (78%) and flexibility (74%)  </w:t>
      </w:r>
    </w:p>
    <w:p w14:paraId="4CD076AC" w14:textId="77777777" w:rsidR="0056001B" w:rsidRPr="0056001B" w:rsidRDefault="0056001B" w:rsidP="0056001B">
      <w:pPr>
        <w:pStyle w:val="ListParagraph"/>
        <w:numPr>
          <w:ilvl w:val="0"/>
          <w:numId w:val="7"/>
        </w:numPr>
        <w:rPr>
          <w:rFonts w:asciiTheme="minorHAnsi" w:hAnsiTheme="minorHAnsi" w:cstheme="minorHAnsi"/>
          <w:sz w:val="22"/>
          <w:szCs w:val="22"/>
        </w:rPr>
      </w:pPr>
      <w:r w:rsidRPr="0056001B">
        <w:rPr>
          <w:rFonts w:asciiTheme="minorHAnsi" w:hAnsiTheme="minorHAnsi" w:cstheme="minorHAnsi"/>
          <w:sz w:val="22"/>
          <w:szCs w:val="22"/>
        </w:rPr>
        <w:t>Elements of a portfolio role – 74% stated developing a special interest, 57% stated out of hours work</w:t>
      </w:r>
    </w:p>
    <w:p w14:paraId="33CA971D" w14:textId="20EE76B4" w:rsidR="0056001B" w:rsidRPr="0056001B" w:rsidRDefault="0056001B" w:rsidP="0056001B">
      <w:pPr>
        <w:pStyle w:val="ListParagraph"/>
        <w:numPr>
          <w:ilvl w:val="0"/>
          <w:numId w:val="7"/>
        </w:numPr>
        <w:rPr>
          <w:rFonts w:asciiTheme="minorHAnsi" w:hAnsiTheme="minorHAnsi" w:cstheme="minorHAnsi"/>
          <w:sz w:val="22"/>
          <w:szCs w:val="22"/>
        </w:rPr>
      </w:pPr>
      <w:r w:rsidRPr="0056001B">
        <w:rPr>
          <w:rFonts w:asciiTheme="minorHAnsi" w:hAnsiTheme="minorHAnsi" w:cstheme="minorHAnsi"/>
          <w:sz w:val="22"/>
          <w:szCs w:val="22"/>
        </w:rPr>
        <w:t xml:space="preserve">Other types of work </w:t>
      </w:r>
      <w:r w:rsidR="003B3053">
        <w:rPr>
          <w:rFonts w:asciiTheme="minorHAnsi" w:hAnsiTheme="minorHAnsi" w:cstheme="minorHAnsi"/>
          <w:sz w:val="22"/>
          <w:szCs w:val="22"/>
        </w:rPr>
        <w:t xml:space="preserve">that would be of interest within a portfolio role </w:t>
      </w:r>
      <w:r w:rsidRPr="0056001B">
        <w:rPr>
          <w:rFonts w:asciiTheme="minorHAnsi" w:hAnsiTheme="minorHAnsi" w:cstheme="minorHAnsi"/>
          <w:sz w:val="22"/>
          <w:szCs w:val="22"/>
        </w:rPr>
        <w:t xml:space="preserve">were education / teaching (52%), being a GP Trainer (43%) and working in an acute setting (39%).  </w:t>
      </w:r>
    </w:p>
    <w:p w14:paraId="7E13F099" w14:textId="72EA806A" w:rsidR="0056001B" w:rsidRPr="0056001B" w:rsidRDefault="0056001B" w:rsidP="0056001B">
      <w:pPr>
        <w:pStyle w:val="ListParagraph"/>
        <w:numPr>
          <w:ilvl w:val="0"/>
          <w:numId w:val="7"/>
        </w:numPr>
        <w:rPr>
          <w:rFonts w:asciiTheme="minorHAnsi" w:hAnsiTheme="minorHAnsi" w:cstheme="minorHAnsi"/>
          <w:sz w:val="22"/>
          <w:szCs w:val="22"/>
        </w:rPr>
      </w:pPr>
      <w:r w:rsidRPr="0056001B">
        <w:rPr>
          <w:rFonts w:asciiTheme="minorHAnsi" w:hAnsiTheme="minorHAnsi" w:cstheme="minorHAnsi"/>
          <w:sz w:val="22"/>
          <w:szCs w:val="22"/>
        </w:rPr>
        <w:t>Most frequently cited specialties to develop a special interest in were care of the elderly, paediatrics and acute medicine.</w:t>
      </w:r>
    </w:p>
    <w:p w14:paraId="5E021F35" w14:textId="4E8C576A" w:rsidR="0056001B" w:rsidRDefault="0056001B" w:rsidP="0056001B">
      <w:pPr>
        <w:pStyle w:val="ListParagraph"/>
        <w:numPr>
          <w:ilvl w:val="0"/>
          <w:numId w:val="7"/>
        </w:numPr>
        <w:rPr>
          <w:rFonts w:asciiTheme="minorHAnsi" w:hAnsiTheme="minorHAnsi" w:cstheme="minorHAnsi"/>
          <w:sz w:val="22"/>
          <w:szCs w:val="22"/>
        </w:rPr>
      </w:pPr>
      <w:r w:rsidRPr="0056001B">
        <w:rPr>
          <w:rFonts w:asciiTheme="minorHAnsi" w:hAnsiTheme="minorHAnsi" w:cstheme="minorHAnsi"/>
          <w:sz w:val="22"/>
          <w:szCs w:val="22"/>
        </w:rPr>
        <w:t>96% would be interested in a ‘salaried’ portfolio role that combined general practice, out of hours and some acute based work</w:t>
      </w:r>
    </w:p>
    <w:p w14:paraId="091D4D6B" w14:textId="032C7AE1" w:rsidR="003B3053" w:rsidRDefault="0056001B" w:rsidP="0056001B">
      <w:pPr>
        <w:pStyle w:val="ListParagraph"/>
        <w:numPr>
          <w:ilvl w:val="0"/>
          <w:numId w:val="7"/>
        </w:numPr>
      </w:pPr>
      <w:r w:rsidRPr="0056001B">
        <w:rPr>
          <w:rFonts w:asciiTheme="minorHAnsi" w:hAnsiTheme="minorHAnsi" w:cstheme="minorHAnsi"/>
          <w:sz w:val="22"/>
          <w:szCs w:val="22"/>
        </w:rPr>
        <w:t>83% favoured a substantive, salaried role with a main employer that provides a portfolio of work</w:t>
      </w:r>
    </w:p>
    <w:p w14:paraId="641D9186" w14:textId="77777777" w:rsidR="00FE0973" w:rsidRDefault="003B3053" w:rsidP="00D55D94">
      <w:pPr>
        <w:pStyle w:val="ListParagraph"/>
        <w:numPr>
          <w:ilvl w:val="0"/>
          <w:numId w:val="7"/>
        </w:numPr>
        <w:rPr>
          <w:rFonts w:asciiTheme="minorHAnsi" w:hAnsiTheme="minorHAnsi" w:cstheme="minorHAnsi"/>
          <w:sz w:val="22"/>
          <w:szCs w:val="22"/>
        </w:rPr>
      </w:pPr>
      <w:r w:rsidRPr="00FE0973">
        <w:rPr>
          <w:rFonts w:asciiTheme="minorHAnsi" w:hAnsiTheme="minorHAnsi" w:cstheme="minorHAnsi"/>
          <w:sz w:val="22"/>
          <w:szCs w:val="22"/>
        </w:rPr>
        <w:t>65% stated they would prefer their first role on qualifying to be between 4 and 6 sessions, 26% would prefer to work between 7 and 9 sessions</w:t>
      </w:r>
    </w:p>
    <w:p w14:paraId="12741763" w14:textId="5D64B897" w:rsidR="0056001B" w:rsidRDefault="003B3053" w:rsidP="00D55D94">
      <w:pPr>
        <w:pStyle w:val="ListParagraph"/>
        <w:numPr>
          <w:ilvl w:val="0"/>
          <w:numId w:val="7"/>
        </w:numPr>
        <w:rPr>
          <w:rFonts w:asciiTheme="minorHAnsi" w:hAnsiTheme="minorHAnsi" w:cstheme="minorHAnsi"/>
          <w:sz w:val="22"/>
          <w:szCs w:val="22"/>
        </w:rPr>
      </w:pPr>
      <w:r w:rsidRPr="00FE0973">
        <w:rPr>
          <w:rFonts w:asciiTheme="minorHAnsi" w:hAnsiTheme="minorHAnsi" w:cstheme="minorHAnsi"/>
          <w:sz w:val="22"/>
          <w:szCs w:val="22"/>
        </w:rPr>
        <w:t>64% of respondents expect a first salary post qualification for a portfolio role to be up to £75,000</w:t>
      </w:r>
      <w:r w:rsidR="0056001B" w:rsidRPr="00FE0973">
        <w:rPr>
          <w:rFonts w:asciiTheme="minorHAnsi" w:hAnsiTheme="minorHAnsi" w:cstheme="minorHAnsi"/>
          <w:sz w:val="22"/>
          <w:szCs w:val="22"/>
        </w:rPr>
        <w:t xml:space="preserve"> </w:t>
      </w:r>
    </w:p>
    <w:p w14:paraId="30F1B186" w14:textId="77777777" w:rsidR="00FE0973" w:rsidRDefault="00FE0973" w:rsidP="00FE0973">
      <w:pPr>
        <w:rPr>
          <w:rFonts w:cstheme="minorHAnsi"/>
        </w:rPr>
      </w:pPr>
    </w:p>
    <w:p w14:paraId="7C0A5CCE" w14:textId="539408F1" w:rsidR="00FE0973" w:rsidRDefault="00FE0973" w:rsidP="00FE0973">
      <w:pPr>
        <w:rPr>
          <w:rFonts w:cstheme="minorHAnsi"/>
        </w:rPr>
      </w:pPr>
      <w:r>
        <w:rPr>
          <w:rFonts w:cstheme="minorHAnsi"/>
        </w:rPr>
        <w:t>The data from the online survey indicates some important considerations when designing a salaried portfolio role.  It also provides some clear evidence that trainees (who are due to qualify within the next 6-10 months) are looking for something other than a traditional GP role and have little intention of entering the profession on a full</w:t>
      </w:r>
      <w:r w:rsidR="00C113E4">
        <w:rPr>
          <w:rFonts w:cstheme="minorHAnsi"/>
        </w:rPr>
        <w:t>-</w:t>
      </w:r>
      <w:r>
        <w:rPr>
          <w:rFonts w:cstheme="minorHAnsi"/>
        </w:rPr>
        <w:t>time basis.</w:t>
      </w:r>
    </w:p>
    <w:p w14:paraId="2B559A80" w14:textId="21800933" w:rsidR="00FE0973" w:rsidRDefault="00FE0973" w:rsidP="00FE0973">
      <w:pPr>
        <w:rPr>
          <w:rFonts w:cstheme="minorHAnsi"/>
        </w:rPr>
      </w:pPr>
      <w:r>
        <w:rPr>
          <w:rFonts w:cstheme="minorHAnsi"/>
        </w:rPr>
        <w:t xml:space="preserve">The current state analysis </w:t>
      </w:r>
      <w:r w:rsidR="00C113E4">
        <w:rPr>
          <w:rFonts w:cstheme="minorHAnsi"/>
        </w:rPr>
        <w:t xml:space="preserve">of GP career attitudes and intentions </w:t>
      </w:r>
      <w:r>
        <w:rPr>
          <w:rFonts w:cstheme="minorHAnsi"/>
        </w:rPr>
        <w:t>clearly indicates that:</w:t>
      </w:r>
    </w:p>
    <w:p w14:paraId="591E538A" w14:textId="36C50FC0" w:rsidR="00FE0973" w:rsidRPr="00C113E4" w:rsidRDefault="00FE0973" w:rsidP="00C113E4">
      <w:pPr>
        <w:pStyle w:val="ListParagraph"/>
        <w:numPr>
          <w:ilvl w:val="0"/>
          <w:numId w:val="25"/>
        </w:numPr>
        <w:rPr>
          <w:rFonts w:asciiTheme="minorHAnsi" w:hAnsiTheme="minorHAnsi" w:cstheme="minorHAnsi"/>
          <w:sz w:val="22"/>
          <w:szCs w:val="22"/>
        </w:rPr>
      </w:pPr>
      <w:r w:rsidRPr="00C113E4">
        <w:rPr>
          <w:rFonts w:asciiTheme="minorHAnsi" w:hAnsiTheme="minorHAnsi" w:cstheme="minorHAnsi"/>
          <w:sz w:val="22"/>
          <w:szCs w:val="22"/>
        </w:rPr>
        <w:t xml:space="preserve">The future career intentions of GPs will negatively impact GP capacity </w:t>
      </w:r>
    </w:p>
    <w:p w14:paraId="02B68341" w14:textId="633EDB33" w:rsidR="00C113E4" w:rsidRPr="00C113E4" w:rsidRDefault="00C113E4" w:rsidP="00C113E4">
      <w:pPr>
        <w:pStyle w:val="ListParagraph"/>
        <w:numPr>
          <w:ilvl w:val="0"/>
          <w:numId w:val="25"/>
        </w:numPr>
        <w:rPr>
          <w:rFonts w:asciiTheme="minorHAnsi" w:hAnsiTheme="minorHAnsi" w:cstheme="minorHAnsi"/>
          <w:sz w:val="22"/>
          <w:szCs w:val="22"/>
        </w:rPr>
      </w:pPr>
      <w:r w:rsidRPr="00C113E4">
        <w:rPr>
          <w:rFonts w:asciiTheme="minorHAnsi" w:hAnsiTheme="minorHAnsi" w:cstheme="minorHAnsi"/>
          <w:sz w:val="22"/>
          <w:szCs w:val="22"/>
        </w:rPr>
        <w:t>GPs are looking for different professional opportunities and portfolio working is one such opportunity</w:t>
      </w:r>
    </w:p>
    <w:p w14:paraId="7D6C1741" w14:textId="75551FC2" w:rsidR="00C113E4" w:rsidRPr="00C113E4" w:rsidRDefault="00C113E4" w:rsidP="00C113E4">
      <w:pPr>
        <w:pStyle w:val="ListParagraph"/>
        <w:numPr>
          <w:ilvl w:val="0"/>
          <w:numId w:val="25"/>
        </w:numPr>
        <w:rPr>
          <w:rFonts w:asciiTheme="minorHAnsi" w:hAnsiTheme="minorHAnsi" w:cstheme="minorHAnsi"/>
          <w:sz w:val="22"/>
          <w:szCs w:val="22"/>
        </w:rPr>
      </w:pPr>
      <w:r w:rsidRPr="00C113E4">
        <w:rPr>
          <w:rFonts w:asciiTheme="minorHAnsi" w:hAnsiTheme="minorHAnsi" w:cstheme="minorHAnsi"/>
          <w:sz w:val="22"/>
          <w:szCs w:val="22"/>
        </w:rPr>
        <w:t>A ‘salaried’ portfolio role that provides the opportunity to work within General Practice, the out-of-hours service and within an acute setting is an attractive proposition.</w:t>
      </w:r>
    </w:p>
    <w:p w14:paraId="6FE2F8A9" w14:textId="5B2824CB" w:rsidR="0026354D" w:rsidRDefault="0026354D">
      <w:r>
        <w:br w:type="page"/>
      </w:r>
    </w:p>
    <w:p w14:paraId="39F01315" w14:textId="2A794232" w:rsidR="00E452F1" w:rsidRDefault="00C113E4" w:rsidP="005C6AF4">
      <w:pPr>
        <w:pStyle w:val="Heading2"/>
        <w:numPr>
          <w:ilvl w:val="0"/>
          <w:numId w:val="5"/>
        </w:numPr>
      </w:pPr>
      <w:bookmarkStart w:id="7" w:name="_Toc518386211"/>
      <w:r>
        <w:lastRenderedPageBreak/>
        <w:t>Current state analysis – portfolio roles</w:t>
      </w:r>
      <w:bookmarkEnd w:id="7"/>
    </w:p>
    <w:p w14:paraId="784F843E" w14:textId="77777777" w:rsidR="004C4264" w:rsidRDefault="004C4264" w:rsidP="004E7FEB"/>
    <w:p w14:paraId="18A7199B" w14:textId="5CA35154" w:rsidR="00C113E4" w:rsidRDefault="00C113E4" w:rsidP="00C113E4">
      <w:r>
        <w:t>A desktop research exercise</w:t>
      </w:r>
      <w:r>
        <w:rPr>
          <w:rStyle w:val="FootnoteReference"/>
        </w:rPr>
        <w:footnoteReference w:id="4"/>
      </w:r>
      <w:r>
        <w:t xml:space="preserve"> looking at the current availability of portfolio roles has not found examples of GP roles that provide a portfolio of activity across health care settings within the security of a permanent salaried post.  Whilst there are many GPs that work within a portfolio career this is often instigated by themselves comprising </w:t>
      </w:r>
      <w:proofErr w:type="gramStart"/>
      <w:r>
        <w:t>a number of</w:t>
      </w:r>
      <w:proofErr w:type="gramEnd"/>
      <w:r>
        <w:t xml:space="preserve"> part-time or fixed-term contracts.  </w:t>
      </w:r>
    </w:p>
    <w:p w14:paraId="5D8E03AF" w14:textId="77777777" w:rsidR="00C113E4" w:rsidRDefault="00C113E4" w:rsidP="00C113E4">
      <w:r>
        <w:t>There are many examples of 12-month fixed-term fellowship programmes across the country that comprise of clinical, non-clinical and educational elements.  There are local differences in terms of what the programmes offer, however there appear to be some common success factors:</w:t>
      </w:r>
    </w:p>
    <w:p w14:paraId="2C302924" w14:textId="77777777" w:rsidR="00C113E4" w:rsidRPr="00726A38" w:rsidRDefault="00C113E4" w:rsidP="00C113E4">
      <w:pPr>
        <w:pStyle w:val="ListParagraph"/>
        <w:numPr>
          <w:ilvl w:val="0"/>
          <w:numId w:val="6"/>
        </w:numPr>
      </w:pPr>
      <w:r w:rsidRPr="00EB7A60">
        <w:rPr>
          <w:rFonts w:asciiTheme="minorHAnsi" w:hAnsiTheme="minorHAnsi" w:cstheme="minorHAnsi"/>
          <w:b/>
          <w:sz w:val="22"/>
          <w:szCs w:val="22"/>
        </w:rPr>
        <w:t>Role definition</w:t>
      </w:r>
      <w:r>
        <w:rPr>
          <w:rFonts w:asciiTheme="minorHAnsi" w:hAnsiTheme="minorHAnsi" w:cstheme="minorHAnsi"/>
          <w:sz w:val="22"/>
          <w:szCs w:val="22"/>
        </w:rPr>
        <w:t xml:space="preserve"> – clarity on the remit and level/grade of the role within each healthcare setting</w:t>
      </w:r>
    </w:p>
    <w:p w14:paraId="4EA71861" w14:textId="77777777" w:rsidR="00C113E4" w:rsidRPr="00726A38" w:rsidRDefault="00C113E4" w:rsidP="00C113E4">
      <w:pPr>
        <w:pStyle w:val="ListParagraph"/>
        <w:numPr>
          <w:ilvl w:val="0"/>
          <w:numId w:val="6"/>
        </w:numPr>
      </w:pPr>
      <w:r w:rsidRPr="00EB7A60">
        <w:rPr>
          <w:rFonts w:asciiTheme="minorHAnsi" w:hAnsiTheme="minorHAnsi" w:cstheme="minorHAnsi"/>
          <w:b/>
          <w:sz w:val="22"/>
          <w:szCs w:val="22"/>
        </w:rPr>
        <w:t>Employment model</w:t>
      </w:r>
      <w:r>
        <w:rPr>
          <w:rFonts w:asciiTheme="minorHAnsi" w:hAnsiTheme="minorHAnsi" w:cstheme="minorHAnsi"/>
          <w:sz w:val="22"/>
          <w:szCs w:val="22"/>
        </w:rPr>
        <w:t xml:space="preserve"> – early agreement on salary and how cross-charging for clinical time will work; prime employer model with honorary contracts including indemnity cover within secondary care setting</w:t>
      </w:r>
    </w:p>
    <w:p w14:paraId="7B5F13F5" w14:textId="77777777" w:rsidR="00C113E4" w:rsidRPr="00726A38" w:rsidRDefault="00C113E4" w:rsidP="00C113E4">
      <w:pPr>
        <w:pStyle w:val="ListParagraph"/>
        <w:numPr>
          <w:ilvl w:val="0"/>
          <w:numId w:val="6"/>
        </w:numPr>
      </w:pPr>
      <w:r w:rsidRPr="00EB7A60">
        <w:rPr>
          <w:rFonts w:asciiTheme="minorHAnsi" w:hAnsiTheme="minorHAnsi" w:cstheme="minorHAnsi"/>
          <w:b/>
          <w:sz w:val="22"/>
          <w:szCs w:val="22"/>
        </w:rPr>
        <w:t>Clinical supervision</w:t>
      </w:r>
      <w:r>
        <w:rPr>
          <w:rFonts w:asciiTheme="minorHAnsi" w:hAnsiTheme="minorHAnsi" w:cstheme="minorHAnsi"/>
          <w:sz w:val="22"/>
          <w:szCs w:val="22"/>
        </w:rPr>
        <w:t xml:space="preserve"> – acknowledgement that this will be necessary for GPs working within secondary care; early agreement as to how this will be provided and funded</w:t>
      </w:r>
    </w:p>
    <w:p w14:paraId="098D8C3A" w14:textId="77777777" w:rsidR="00C113E4" w:rsidRPr="0061563F" w:rsidRDefault="00C113E4" w:rsidP="00C113E4">
      <w:pPr>
        <w:pStyle w:val="ListParagraph"/>
        <w:numPr>
          <w:ilvl w:val="0"/>
          <w:numId w:val="6"/>
        </w:numPr>
      </w:pPr>
      <w:r w:rsidRPr="00EB7A60">
        <w:rPr>
          <w:rFonts w:asciiTheme="minorHAnsi" w:hAnsiTheme="minorHAnsi" w:cstheme="minorHAnsi"/>
          <w:b/>
          <w:sz w:val="22"/>
          <w:szCs w:val="22"/>
        </w:rPr>
        <w:t>Communication</w:t>
      </w:r>
      <w:r>
        <w:rPr>
          <w:rFonts w:asciiTheme="minorHAnsi" w:hAnsiTheme="minorHAnsi" w:cstheme="minorHAnsi"/>
          <w:sz w:val="22"/>
          <w:szCs w:val="22"/>
        </w:rPr>
        <w:t xml:space="preserve"> – promote a wide understanding of the role within the settings the GP will work in; make clear the benefits of working with a colleague who is sighted on patient pathways across health care settings </w:t>
      </w:r>
    </w:p>
    <w:p w14:paraId="4ABEB0EA" w14:textId="77777777" w:rsidR="00C113E4" w:rsidRPr="00C113E4" w:rsidRDefault="00C113E4" w:rsidP="00C113E4">
      <w:pPr>
        <w:pStyle w:val="ListParagraph"/>
        <w:numPr>
          <w:ilvl w:val="0"/>
          <w:numId w:val="6"/>
        </w:numPr>
      </w:pPr>
      <w:r>
        <w:rPr>
          <w:rFonts w:asciiTheme="minorHAnsi" w:hAnsiTheme="minorHAnsi" w:cstheme="minorHAnsi"/>
          <w:b/>
          <w:sz w:val="22"/>
          <w:szCs w:val="22"/>
        </w:rPr>
        <w:t xml:space="preserve">Education </w:t>
      </w:r>
      <w:r>
        <w:rPr>
          <w:rFonts w:asciiTheme="minorHAnsi" w:hAnsiTheme="minorHAnsi" w:cstheme="minorHAnsi"/>
          <w:sz w:val="22"/>
          <w:szCs w:val="22"/>
        </w:rPr>
        <w:t>– provision of funded post-graduate education aligned to clinical interest</w:t>
      </w:r>
    </w:p>
    <w:p w14:paraId="483BABCE" w14:textId="6BD7A415" w:rsidR="00722FAD" w:rsidRPr="00C113E4" w:rsidRDefault="00C113E4" w:rsidP="00C113E4">
      <w:pPr>
        <w:pStyle w:val="ListParagraph"/>
        <w:numPr>
          <w:ilvl w:val="0"/>
          <w:numId w:val="6"/>
        </w:numPr>
        <w:rPr>
          <w:rFonts w:asciiTheme="minorHAnsi" w:hAnsiTheme="minorHAnsi" w:cstheme="minorHAnsi"/>
          <w:sz w:val="22"/>
          <w:szCs w:val="22"/>
        </w:rPr>
      </w:pPr>
      <w:r w:rsidRPr="00C113E4">
        <w:rPr>
          <w:rFonts w:asciiTheme="minorHAnsi" w:hAnsiTheme="minorHAnsi" w:cstheme="minorHAnsi"/>
          <w:b/>
          <w:sz w:val="22"/>
          <w:szCs w:val="22"/>
        </w:rPr>
        <w:t>Reflection/Wellbeing/emotional support</w:t>
      </w:r>
      <w:r w:rsidRPr="00C113E4">
        <w:rPr>
          <w:rFonts w:asciiTheme="minorHAnsi" w:hAnsiTheme="minorHAnsi" w:cstheme="minorHAnsi"/>
          <w:sz w:val="22"/>
          <w:szCs w:val="22"/>
        </w:rPr>
        <w:t xml:space="preserve"> – build in time for reflection and peer support; use of action learning sets to work through challenges</w:t>
      </w:r>
    </w:p>
    <w:p w14:paraId="4507023D" w14:textId="77777777" w:rsidR="00F04672" w:rsidRDefault="00F04672"/>
    <w:p w14:paraId="65302FC1" w14:textId="14235E77" w:rsidR="005F4736" w:rsidRDefault="00F04672">
      <w:r>
        <w:t>Health Education England in the West Midlands is offering a well-established</w:t>
      </w:r>
      <w:r w:rsidR="005F4736">
        <w:t xml:space="preserve"> Post-CCT Fellowship in Urgent and Acute Care (12-month fellowship) where GPs rotate between health care settings.  The fellowship has been evaluated by Warwick Medical School and is found to be successfully </w:t>
      </w:r>
      <w:r w:rsidR="005F4736" w:rsidRPr="00BA1F6A">
        <w:t xml:space="preserve">developing early career doctors with the skills and knowledge relevant to integrated care, admission avoidance, ambulatory care and supporting patients to access alternative community-based pathways; disseminating such skills and knowledge to colleagues with whom the fellows interacted with in each clinical placement; evidence of sustained learning, retention and capacity building in practice. The fellows’ primary care experience and ability to manage risk was viewed as being particularly relevant within the emergency department and ambulance settings. </w:t>
      </w:r>
    </w:p>
    <w:p w14:paraId="2468E3EC" w14:textId="3B12A59C" w:rsidR="00BA1F6A" w:rsidRDefault="005F4736">
      <w:r>
        <w:t>T</w:t>
      </w:r>
      <w:r w:rsidR="00BA1F6A" w:rsidRPr="00BA1F6A">
        <w:t xml:space="preserve">hree fellows who completed the </w:t>
      </w:r>
      <w:r>
        <w:t xml:space="preserve">West Midlands </w:t>
      </w:r>
      <w:r w:rsidR="00BA1F6A" w:rsidRPr="00BA1F6A">
        <w:t>fellowship in January 2015, when interviewed eight months later were all employed for at least part of the week in roles requiring urgent care skills; two of the three continu</w:t>
      </w:r>
      <w:r>
        <w:t>ing</w:t>
      </w:r>
      <w:r w:rsidR="00BA1F6A" w:rsidRPr="00BA1F6A">
        <w:t xml:space="preserve"> to work concurrently in general practice</w:t>
      </w:r>
      <w:r>
        <w:t>.</w:t>
      </w:r>
    </w:p>
    <w:p w14:paraId="55682C7C" w14:textId="236BC60C" w:rsidR="005F4736" w:rsidRDefault="00227358">
      <w:r>
        <w:t xml:space="preserve">Of the fellowship programmes that were identified there appears to be mixed success rates in terms of take-up.  The West Midlands fellowship is </w:t>
      </w:r>
      <w:r w:rsidR="000216D9">
        <w:t>well-established,</w:t>
      </w:r>
      <w:r>
        <w:t xml:space="preserve"> and the model has been introduced in London and the South East.  In Bedfordshire there has been modest take-up of the </w:t>
      </w:r>
      <w:r w:rsidR="00980C3A">
        <w:t xml:space="preserve">fixed-term </w:t>
      </w:r>
      <w:r>
        <w:t>programmes on offer (4 GPs) and in the East Midlands there ha</w:t>
      </w:r>
      <w:r w:rsidR="000216D9">
        <w:t>d</w:t>
      </w:r>
      <w:r>
        <w:t xml:space="preserve"> been no take-up of the </w:t>
      </w:r>
      <w:r w:rsidR="00980C3A">
        <w:t xml:space="preserve">fixed-term </w:t>
      </w:r>
      <w:r>
        <w:t>roles on offer</w:t>
      </w:r>
      <w:r w:rsidR="000216D9">
        <w:t xml:space="preserve"> at the time of this desk-top research exercise</w:t>
      </w:r>
      <w:r>
        <w:t>.</w:t>
      </w:r>
    </w:p>
    <w:tbl>
      <w:tblPr>
        <w:tblStyle w:val="TableGrid"/>
        <w:tblW w:w="0" w:type="auto"/>
        <w:tblLook w:val="04A0" w:firstRow="1" w:lastRow="0" w:firstColumn="1" w:lastColumn="0" w:noHBand="0" w:noVBand="1"/>
      </w:tblPr>
      <w:tblGrid>
        <w:gridCol w:w="1555"/>
        <w:gridCol w:w="992"/>
        <w:gridCol w:w="2466"/>
        <w:gridCol w:w="1617"/>
        <w:gridCol w:w="1202"/>
        <w:gridCol w:w="1184"/>
      </w:tblGrid>
      <w:tr w:rsidR="00E11CFD" w14:paraId="3AC38028" w14:textId="77777777" w:rsidTr="00E133AF">
        <w:tc>
          <w:tcPr>
            <w:tcW w:w="1555" w:type="dxa"/>
            <w:shd w:val="clear" w:color="auto" w:fill="8EAADB" w:themeFill="accent1" w:themeFillTint="99"/>
          </w:tcPr>
          <w:p w14:paraId="76A6F0A0" w14:textId="4E993D10" w:rsidR="00B43D03" w:rsidRPr="00B43D03" w:rsidRDefault="00B43D03">
            <w:pPr>
              <w:rPr>
                <w:rFonts w:cstheme="minorHAnsi"/>
                <w:b/>
                <w:color w:val="FFFFFF" w:themeColor="background1"/>
              </w:rPr>
            </w:pPr>
            <w:r w:rsidRPr="00B43D03">
              <w:rPr>
                <w:rFonts w:cstheme="minorHAnsi"/>
                <w:b/>
                <w:color w:val="FFFFFF" w:themeColor="background1"/>
              </w:rPr>
              <w:lastRenderedPageBreak/>
              <w:t>Area</w:t>
            </w:r>
          </w:p>
        </w:tc>
        <w:tc>
          <w:tcPr>
            <w:tcW w:w="992" w:type="dxa"/>
            <w:shd w:val="clear" w:color="auto" w:fill="8EAADB" w:themeFill="accent1" w:themeFillTint="99"/>
          </w:tcPr>
          <w:p w14:paraId="7D6A2EE5" w14:textId="183145CB" w:rsidR="00B43D03" w:rsidRPr="00B43D03" w:rsidRDefault="00B43D03" w:rsidP="00E133AF">
            <w:pPr>
              <w:jc w:val="center"/>
              <w:rPr>
                <w:rFonts w:cstheme="minorHAnsi"/>
                <w:b/>
                <w:color w:val="FFFFFF" w:themeColor="background1"/>
              </w:rPr>
            </w:pPr>
            <w:r w:rsidRPr="00B43D03">
              <w:rPr>
                <w:rFonts w:cstheme="minorHAnsi"/>
                <w:b/>
                <w:color w:val="FFFFFF" w:themeColor="background1"/>
              </w:rPr>
              <w:t># sessions</w:t>
            </w:r>
          </w:p>
        </w:tc>
        <w:tc>
          <w:tcPr>
            <w:tcW w:w="2466" w:type="dxa"/>
            <w:shd w:val="clear" w:color="auto" w:fill="8EAADB" w:themeFill="accent1" w:themeFillTint="99"/>
          </w:tcPr>
          <w:p w14:paraId="6D96024C" w14:textId="77BE4D88" w:rsidR="00B43D03" w:rsidRPr="00B43D03" w:rsidRDefault="00B43D03" w:rsidP="00E133AF">
            <w:pPr>
              <w:jc w:val="center"/>
              <w:rPr>
                <w:rFonts w:cstheme="minorHAnsi"/>
                <w:b/>
                <w:color w:val="FFFFFF" w:themeColor="background1"/>
              </w:rPr>
            </w:pPr>
            <w:r w:rsidRPr="00B43D03">
              <w:rPr>
                <w:rFonts w:cstheme="minorHAnsi"/>
                <w:b/>
                <w:color w:val="FFFFFF" w:themeColor="background1"/>
              </w:rPr>
              <w:t>Healthcare settings</w:t>
            </w:r>
          </w:p>
        </w:tc>
        <w:tc>
          <w:tcPr>
            <w:tcW w:w="1617" w:type="dxa"/>
            <w:shd w:val="clear" w:color="auto" w:fill="8EAADB" w:themeFill="accent1" w:themeFillTint="99"/>
          </w:tcPr>
          <w:p w14:paraId="2EE3083C" w14:textId="138ECEE8" w:rsidR="00B43D03" w:rsidRPr="00B43D03" w:rsidRDefault="00B43D03" w:rsidP="00E133AF">
            <w:pPr>
              <w:jc w:val="center"/>
              <w:rPr>
                <w:rFonts w:cstheme="minorHAnsi"/>
                <w:b/>
                <w:color w:val="FFFFFF" w:themeColor="background1"/>
              </w:rPr>
            </w:pPr>
            <w:r w:rsidRPr="00B43D03">
              <w:rPr>
                <w:rFonts w:cstheme="minorHAnsi"/>
                <w:b/>
                <w:color w:val="FFFFFF" w:themeColor="background1"/>
              </w:rPr>
              <w:t>Education Element</w:t>
            </w:r>
          </w:p>
        </w:tc>
        <w:tc>
          <w:tcPr>
            <w:tcW w:w="1202" w:type="dxa"/>
            <w:shd w:val="clear" w:color="auto" w:fill="8EAADB" w:themeFill="accent1" w:themeFillTint="99"/>
          </w:tcPr>
          <w:p w14:paraId="56BFAB8E" w14:textId="698382BB" w:rsidR="00B43D03" w:rsidRPr="00B43D03" w:rsidRDefault="00B43D03" w:rsidP="00E133AF">
            <w:pPr>
              <w:jc w:val="center"/>
              <w:rPr>
                <w:rFonts w:cstheme="minorHAnsi"/>
                <w:b/>
                <w:color w:val="FFFFFF" w:themeColor="background1"/>
              </w:rPr>
            </w:pPr>
            <w:r w:rsidRPr="00B43D03">
              <w:rPr>
                <w:rFonts w:cstheme="minorHAnsi"/>
                <w:b/>
                <w:color w:val="FFFFFF" w:themeColor="background1"/>
              </w:rPr>
              <w:t>Salary</w:t>
            </w:r>
          </w:p>
        </w:tc>
        <w:tc>
          <w:tcPr>
            <w:tcW w:w="1184" w:type="dxa"/>
            <w:shd w:val="clear" w:color="auto" w:fill="8EAADB" w:themeFill="accent1" w:themeFillTint="99"/>
          </w:tcPr>
          <w:p w14:paraId="1225448D" w14:textId="079704B8" w:rsidR="00B43D03" w:rsidRPr="00B43D03" w:rsidRDefault="00157D1E" w:rsidP="00E133AF">
            <w:pPr>
              <w:jc w:val="center"/>
              <w:rPr>
                <w:rFonts w:cstheme="minorHAnsi"/>
                <w:b/>
                <w:color w:val="FFFFFF" w:themeColor="background1"/>
              </w:rPr>
            </w:pPr>
            <w:r>
              <w:rPr>
                <w:rFonts w:cstheme="minorHAnsi"/>
                <w:b/>
                <w:color w:val="FFFFFF" w:themeColor="background1"/>
              </w:rPr>
              <w:t xml:space="preserve"># </w:t>
            </w:r>
            <w:r w:rsidR="00B43D03" w:rsidRPr="00B43D03">
              <w:rPr>
                <w:rFonts w:cstheme="minorHAnsi"/>
                <w:b/>
                <w:color w:val="FFFFFF" w:themeColor="background1"/>
              </w:rPr>
              <w:t>Take-up (at time of research)</w:t>
            </w:r>
          </w:p>
        </w:tc>
      </w:tr>
      <w:tr w:rsidR="00E133AF" w14:paraId="214F773A" w14:textId="77777777" w:rsidTr="00E133AF">
        <w:tc>
          <w:tcPr>
            <w:tcW w:w="1555" w:type="dxa"/>
          </w:tcPr>
          <w:p w14:paraId="79185B70" w14:textId="77D92CBE" w:rsidR="00B43D03" w:rsidRPr="00B43D03" w:rsidRDefault="00B43D03">
            <w:pPr>
              <w:rPr>
                <w:rFonts w:cstheme="minorHAnsi"/>
              </w:rPr>
            </w:pPr>
            <w:r>
              <w:rPr>
                <w:rFonts w:cstheme="minorHAnsi"/>
              </w:rPr>
              <w:t>West Midlands</w:t>
            </w:r>
          </w:p>
        </w:tc>
        <w:tc>
          <w:tcPr>
            <w:tcW w:w="992" w:type="dxa"/>
          </w:tcPr>
          <w:p w14:paraId="3678E0E2" w14:textId="09FE14D4" w:rsidR="00B43D03" w:rsidRPr="00B43D03" w:rsidRDefault="00E66004">
            <w:pPr>
              <w:rPr>
                <w:rFonts w:cstheme="minorHAnsi"/>
              </w:rPr>
            </w:pPr>
            <w:r>
              <w:rPr>
                <w:rFonts w:cstheme="minorHAnsi"/>
              </w:rPr>
              <w:t>10</w:t>
            </w:r>
          </w:p>
        </w:tc>
        <w:tc>
          <w:tcPr>
            <w:tcW w:w="2466" w:type="dxa"/>
          </w:tcPr>
          <w:p w14:paraId="4A994DCC" w14:textId="77777777" w:rsidR="00B43D03" w:rsidRDefault="00E66004">
            <w:pPr>
              <w:rPr>
                <w:rFonts w:cstheme="minorHAnsi"/>
              </w:rPr>
            </w:pPr>
            <w:r>
              <w:rPr>
                <w:rFonts w:cstheme="minorHAnsi"/>
              </w:rPr>
              <w:t>GP Practice</w:t>
            </w:r>
          </w:p>
          <w:p w14:paraId="306E4B10" w14:textId="77777777" w:rsidR="00E66004" w:rsidRDefault="00E66004">
            <w:pPr>
              <w:rPr>
                <w:rFonts w:cstheme="minorHAnsi"/>
              </w:rPr>
            </w:pPr>
            <w:r>
              <w:rPr>
                <w:rFonts w:cstheme="minorHAnsi"/>
              </w:rPr>
              <w:t xml:space="preserve">Acute </w:t>
            </w:r>
            <w:r w:rsidR="00E11CFD">
              <w:rPr>
                <w:rFonts w:cstheme="minorHAnsi"/>
              </w:rPr>
              <w:t>Trust</w:t>
            </w:r>
          </w:p>
          <w:p w14:paraId="5658080E" w14:textId="5CFED2F3" w:rsidR="00E11CFD" w:rsidRPr="00B43D03" w:rsidRDefault="00E11CFD">
            <w:pPr>
              <w:rPr>
                <w:rFonts w:cstheme="minorHAnsi"/>
              </w:rPr>
            </w:pPr>
            <w:r>
              <w:rPr>
                <w:rFonts w:cstheme="minorHAnsi"/>
              </w:rPr>
              <w:t>Ambulance Service</w:t>
            </w:r>
          </w:p>
        </w:tc>
        <w:tc>
          <w:tcPr>
            <w:tcW w:w="1617" w:type="dxa"/>
          </w:tcPr>
          <w:p w14:paraId="0A39E5A5" w14:textId="042756E5" w:rsidR="00B43D03" w:rsidRPr="00B43D03" w:rsidRDefault="00E11CFD">
            <w:pPr>
              <w:rPr>
                <w:rFonts w:cstheme="minorHAnsi"/>
              </w:rPr>
            </w:pPr>
            <w:r>
              <w:rPr>
                <w:rFonts w:cstheme="minorHAnsi"/>
              </w:rPr>
              <w:t>Post-Grad Cert Urgent &amp; Acute Care</w:t>
            </w:r>
          </w:p>
        </w:tc>
        <w:tc>
          <w:tcPr>
            <w:tcW w:w="1202" w:type="dxa"/>
          </w:tcPr>
          <w:p w14:paraId="6A2B9546" w14:textId="0B2C21FB" w:rsidR="00B43D03" w:rsidRPr="00B43D03" w:rsidRDefault="00E11CFD">
            <w:pPr>
              <w:rPr>
                <w:rFonts w:cstheme="minorHAnsi"/>
              </w:rPr>
            </w:pPr>
            <w:r>
              <w:rPr>
                <w:rFonts w:cstheme="minorHAnsi"/>
              </w:rPr>
              <w:t>£75,249</w:t>
            </w:r>
          </w:p>
        </w:tc>
        <w:tc>
          <w:tcPr>
            <w:tcW w:w="1184" w:type="dxa"/>
          </w:tcPr>
          <w:p w14:paraId="250A9053" w14:textId="3BBE588E" w:rsidR="00B43D03" w:rsidRPr="00B43D03" w:rsidRDefault="002A58A3">
            <w:pPr>
              <w:rPr>
                <w:rFonts w:cstheme="minorHAnsi"/>
              </w:rPr>
            </w:pPr>
            <w:r>
              <w:rPr>
                <w:rFonts w:cstheme="minorHAnsi"/>
              </w:rPr>
              <w:t>7</w:t>
            </w:r>
          </w:p>
        </w:tc>
      </w:tr>
      <w:tr w:rsidR="00E133AF" w14:paraId="3F2FB3F2" w14:textId="77777777" w:rsidTr="00E133AF">
        <w:tc>
          <w:tcPr>
            <w:tcW w:w="1555" w:type="dxa"/>
          </w:tcPr>
          <w:p w14:paraId="009DB2F5" w14:textId="2A9D8840" w:rsidR="00B43D03" w:rsidRPr="00B43D03" w:rsidRDefault="00E11CFD">
            <w:pPr>
              <w:rPr>
                <w:rFonts w:cstheme="minorHAnsi"/>
              </w:rPr>
            </w:pPr>
            <w:r>
              <w:rPr>
                <w:rFonts w:cstheme="minorHAnsi"/>
              </w:rPr>
              <w:t>London/South East</w:t>
            </w:r>
          </w:p>
        </w:tc>
        <w:tc>
          <w:tcPr>
            <w:tcW w:w="992" w:type="dxa"/>
          </w:tcPr>
          <w:p w14:paraId="3CE70E09" w14:textId="1AC836AF" w:rsidR="00B43D03" w:rsidRPr="00B43D03" w:rsidRDefault="00E11CFD">
            <w:pPr>
              <w:rPr>
                <w:rFonts w:cstheme="minorHAnsi"/>
              </w:rPr>
            </w:pPr>
            <w:r>
              <w:rPr>
                <w:rFonts w:cstheme="minorHAnsi"/>
              </w:rPr>
              <w:t>10</w:t>
            </w:r>
          </w:p>
        </w:tc>
        <w:tc>
          <w:tcPr>
            <w:tcW w:w="2466" w:type="dxa"/>
          </w:tcPr>
          <w:p w14:paraId="3598CCC8" w14:textId="77777777" w:rsidR="00E11CFD" w:rsidRDefault="00E11CFD" w:rsidP="00E11CFD">
            <w:pPr>
              <w:rPr>
                <w:rFonts w:cstheme="minorHAnsi"/>
              </w:rPr>
            </w:pPr>
            <w:r>
              <w:rPr>
                <w:rFonts w:cstheme="minorHAnsi"/>
              </w:rPr>
              <w:t>GP Practice</w:t>
            </w:r>
          </w:p>
          <w:p w14:paraId="41F4D638" w14:textId="6F4A13BC" w:rsidR="00E11CFD" w:rsidRDefault="00E11CFD" w:rsidP="00E11CFD">
            <w:pPr>
              <w:rPr>
                <w:rFonts w:cstheme="minorHAnsi"/>
              </w:rPr>
            </w:pPr>
            <w:r>
              <w:rPr>
                <w:rFonts w:cstheme="minorHAnsi"/>
              </w:rPr>
              <w:t>Acute Trust</w:t>
            </w:r>
          </w:p>
          <w:p w14:paraId="07E413CD" w14:textId="6ED3072E" w:rsidR="00E11CFD" w:rsidRDefault="00E11CFD" w:rsidP="00E11CFD">
            <w:pPr>
              <w:rPr>
                <w:rFonts w:cstheme="minorHAnsi"/>
              </w:rPr>
            </w:pPr>
            <w:r>
              <w:rPr>
                <w:rFonts w:cstheme="minorHAnsi"/>
              </w:rPr>
              <w:t>Urgent Care Centre</w:t>
            </w:r>
          </w:p>
          <w:p w14:paraId="07124F7C" w14:textId="68CAF9B5" w:rsidR="00B43D03" w:rsidRPr="00B43D03" w:rsidRDefault="00E11CFD" w:rsidP="00E11CFD">
            <w:pPr>
              <w:rPr>
                <w:rFonts w:cstheme="minorHAnsi"/>
              </w:rPr>
            </w:pPr>
            <w:r>
              <w:rPr>
                <w:rFonts w:cstheme="minorHAnsi"/>
              </w:rPr>
              <w:t>Ambulance Service</w:t>
            </w:r>
          </w:p>
        </w:tc>
        <w:tc>
          <w:tcPr>
            <w:tcW w:w="1617" w:type="dxa"/>
          </w:tcPr>
          <w:p w14:paraId="647FE950" w14:textId="743D509A" w:rsidR="00B43D03" w:rsidRPr="00B43D03" w:rsidRDefault="00E11CFD">
            <w:pPr>
              <w:rPr>
                <w:rFonts w:cstheme="minorHAnsi"/>
              </w:rPr>
            </w:pPr>
            <w:r>
              <w:rPr>
                <w:rFonts w:cstheme="minorHAnsi"/>
              </w:rPr>
              <w:t>Post-Grad Cert Urgent &amp; Acute Care</w:t>
            </w:r>
          </w:p>
        </w:tc>
        <w:tc>
          <w:tcPr>
            <w:tcW w:w="1202" w:type="dxa"/>
          </w:tcPr>
          <w:p w14:paraId="48168A95" w14:textId="77777777" w:rsidR="00B43D03" w:rsidRDefault="00E11CFD">
            <w:pPr>
              <w:rPr>
                <w:rFonts w:cstheme="minorHAnsi"/>
              </w:rPr>
            </w:pPr>
            <w:r>
              <w:rPr>
                <w:rFonts w:cstheme="minorHAnsi"/>
              </w:rPr>
              <w:t>Unknown</w:t>
            </w:r>
          </w:p>
          <w:p w14:paraId="1A2694C8" w14:textId="602F5963" w:rsidR="00E11CFD" w:rsidRPr="00B43D03" w:rsidRDefault="00E11CFD">
            <w:pPr>
              <w:rPr>
                <w:rFonts w:cstheme="minorHAnsi"/>
              </w:rPr>
            </w:pPr>
            <w:r>
              <w:rPr>
                <w:rFonts w:cstheme="minorHAnsi"/>
              </w:rPr>
              <w:t xml:space="preserve">(part of salary and education funded by HEE) </w:t>
            </w:r>
          </w:p>
        </w:tc>
        <w:tc>
          <w:tcPr>
            <w:tcW w:w="1184" w:type="dxa"/>
          </w:tcPr>
          <w:p w14:paraId="552673A7" w14:textId="15E703A9" w:rsidR="00B43D03" w:rsidRPr="00B43D03" w:rsidRDefault="00E11CFD">
            <w:pPr>
              <w:rPr>
                <w:rFonts w:cstheme="minorHAnsi"/>
              </w:rPr>
            </w:pPr>
            <w:r>
              <w:rPr>
                <w:rFonts w:cstheme="minorHAnsi"/>
              </w:rPr>
              <w:t>15</w:t>
            </w:r>
          </w:p>
        </w:tc>
      </w:tr>
      <w:tr w:rsidR="00E133AF" w14:paraId="7CB42A4D" w14:textId="77777777" w:rsidTr="00E133AF">
        <w:tc>
          <w:tcPr>
            <w:tcW w:w="1555" w:type="dxa"/>
          </w:tcPr>
          <w:p w14:paraId="2417226F" w14:textId="27ED44B2" w:rsidR="00B43D03" w:rsidRPr="00B43D03" w:rsidRDefault="00E11CFD">
            <w:pPr>
              <w:rPr>
                <w:rFonts w:cstheme="minorHAnsi"/>
              </w:rPr>
            </w:pPr>
            <w:r>
              <w:rPr>
                <w:rFonts w:cstheme="minorHAnsi"/>
              </w:rPr>
              <w:t>East Midlands</w:t>
            </w:r>
          </w:p>
        </w:tc>
        <w:tc>
          <w:tcPr>
            <w:tcW w:w="992" w:type="dxa"/>
          </w:tcPr>
          <w:p w14:paraId="2690B5CC" w14:textId="1FDECCCB" w:rsidR="00B43D03" w:rsidRPr="00B43D03" w:rsidRDefault="00E133AF">
            <w:pPr>
              <w:rPr>
                <w:rFonts w:cstheme="minorHAnsi"/>
              </w:rPr>
            </w:pPr>
            <w:r>
              <w:rPr>
                <w:rFonts w:cstheme="minorHAnsi"/>
              </w:rPr>
              <w:t>8</w:t>
            </w:r>
          </w:p>
        </w:tc>
        <w:tc>
          <w:tcPr>
            <w:tcW w:w="2466" w:type="dxa"/>
          </w:tcPr>
          <w:p w14:paraId="48B3584A" w14:textId="77777777" w:rsidR="00B43D03" w:rsidRDefault="00E133AF">
            <w:pPr>
              <w:rPr>
                <w:rFonts w:cstheme="minorHAnsi"/>
              </w:rPr>
            </w:pPr>
            <w:r>
              <w:rPr>
                <w:rFonts w:cstheme="minorHAnsi"/>
              </w:rPr>
              <w:t>GP Practice</w:t>
            </w:r>
          </w:p>
          <w:p w14:paraId="189B12CD" w14:textId="72D232D2" w:rsidR="00E133AF" w:rsidRPr="00B43D03" w:rsidRDefault="00E133AF">
            <w:pPr>
              <w:rPr>
                <w:rFonts w:cstheme="minorHAnsi"/>
              </w:rPr>
            </w:pPr>
            <w:r>
              <w:rPr>
                <w:rFonts w:cstheme="minorHAnsi"/>
              </w:rPr>
              <w:t>Acute Trust – Emergency Medicine</w:t>
            </w:r>
          </w:p>
        </w:tc>
        <w:tc>
          <w:tcPr>
            <w:tcW w:w="1617" w:type="dxa"/>
          </w:tcPr>
          <w:p w14:paraId="102D0516" w14:textId="38A2E697" w:rsidR="00B43D03" w:rsidRPr="00B43D03" w:rsidRDefault="00E133AF">
            <w:pPr>
              <w:rPr>
                <w:rFonts w:cstheme="minorHAnsi"/>
              </w:rPr>
            </w:pPr>
            <w:r>
              <w:rPr>
                <w:rFonts w:cstheme="minorHAnsi"/>
              </w:rPr>
              <w:t>No</w:t>
            </w:r>
          </w:p>
        </w:tc>
        <w:tc>
          <w:tcPr>
            <w:tcW w:w="1202" w:type="dxa"/>
          </w:tcPr>
          <w:p w14:paraId="2A28E2D4" w14:textId="4008D8F4" w:rsidR="00B43D03" w:rsidRPr="00B43D03" w:rsidRDefault="00E133AF">
            <w:pPr>
              <w:rPr>
                <w:rFonts w:cstheme="minorHAnsi"/>
              </w:rPr>
            </w:pPr>
            <w:r>
              <w:rPr>
                <w:rFonts w:cstheme="minorHAnsi"/>
              </w:rPr>
              <w:t>Unknown</w:t>
            </w:r>
          </w:p>
        </w:tc>
        <w:tc>
          <w:tcPr>
            <w:tcW w:w="1184" w:type="dxa"/>
          </w:tcPr>
          <w:p w14:paraId="7D929D94" w14:textId="2E77D166" w:rsidR="00B43D03" w:rsidRPr="00B43D03" w:rsidRDefault="00E133AF">
            <w:pPr>
              <w:rPr>
                <w:rFonts w:cstheme="minorHAnsi"/>
              </w:rPr>
            </w:pPr>
            <w:r>
              <w:rPr>
                <w:rFonts w:cstheme="minorHAnsi"/>
              </w:rPr>
              <w:t>0</w:t>
            </w:r>
          </w:p>
        </w:tc>
      </w:tr>
      <w:tr w:rsidR="00E133AF" w14:paraId="16E5D2F7" w14:textId="77777777" w:rsidTr="00E133AF">
        <w:tc>
          <w:tcPr>
            <w:tcW w:w="1555" w:type="dxa"/>
          </w:tcPr>
          <w:p w14:paraId="26C7CFC6" w14:textId="7947AF87" w:rsidR="00B43D03" w:rsidRPr="00B43D03" w:rsidRDefault="00B43D03">
            <w:pPr>
              <w:rPr>
                <w:rFonts w:cstheme="minorHAnsi"/>
              </w:rPr>
            </w:pPr>
            <w:r>
              <w:rPr>
                <w:rFonts w:cstheme="minorHAnsi"/>
              </w:rPr>
              <w:t>Bedfordshire</w:t>
            </w:r>
          </w:p>
        </w:tc>
        <w:tc>
          <w:tcPr>
            <w:tcW w:w="992" w:type="dxa"/>
          </w:tcPr>
          <w:p w14:paraId="5A7AA5E3" w14:textId="363E0271" w:rsidR="00B43D03" w:rsidRPr="00B43D03" w:rsidRDefault="00E133AF">
            <w:pPr>
              <w:rPr>
                <w:rFonts w:cstheme="minorHAnsi"/>
              </w:rPr>
            </w:pPr>
            <w:r>
              <w:rPr>
                <w:rFonts w:cstheme="minorHAnsi"/>
              </w:rPr>
              <w:t>10</w:t>
            </w:r>
          </w:p>
        </w:tc>
        <w:tc>
          <w:tcPr>
            <w:tcW w:w="2466" w:type="dxa"/>
          </w:tcPr>
          <w:p w14:paraId="3A5869F0" w14:textId="77777777" w:rsidR="00B43D03" w:rsidRDefault="00E133AF">
            <w:pPr>
              <w:rPr>
                <w:rFonts w:cstheme="minorHAnsi"/>
              </w:rPr>
            </w:pPr>
            <w:r>
              <w:rPr>
                <w:rFonts w:cstheme="minorHAnsi"/>
              </w:rPr>
              <w:t>GP Practice</w:t>
            </w:r>
          </w:p>
          <w:p w14:paraId="2E3ACFD4" w14:textId="21160284" w:rsidR="00E133AF" w:rsidRPr="00B43D03" w:rsidRDefault="00E133AF">
            <w:pPr>
              <w:rPr>
                <w:rFonts w:cstheme="minorHAnsi"/>
              </w:rPr>
            </w:pPr>
            <w:r>
              <w:rPr>
                <w:rFonts w:cstheme="minorHAnsi"/>
              </w:rPr>
              <w:t>Secondary or Community Care</w:t>
            </w:r>
          </w:p>
        </w:tc>
        <w:tc>
          <w:tcPr>
            <w:tcW w:w="1617" w:type="dxa"/>
          </w:tcPr>
          <w:p w14:paraId="2143D41B" w14:textId="019DD28D" w:rsidR="00B43D03" w:rsidRPr="00B43D03" w:rsidRDefault="00E133AF">
            <w:pPr>
              <w:rPr>
                <w:rFonts w:cstheme="minorHAnsi"/>
              </w:rPr>
            </w:pPr>
            <w:r>
              <w:rPr>
                <w:rFonts w:cstheme="minorHAnsi"/>
              </w:rPr>
              <w:t>Yes</w:t>
            </w:r>
          </w:p>
        </w:tc>
        <w:tc>
          <w:tcPr>
            <w:tcW w:w="1202" w:type="dxa"/>
          </w:tcPr>
          <w:p w14:paraId="422CCC5A" w14:textId="4B4019E9" w:rsidR="00B43D03" w:rsidRPr="00B43D03" w:rsidRDefault="00E133AF">
            <w:pPr>
              <w:rPr>
                <w:rFonts w:cstheme="minorHAnsi"/>
              </w:rPr>
            </w:pPr>
            <w:r>
              <w:rPr>
                <w:rFonts w:cstheme="minorHAnsi"/>
              </w:rPr>
              <w:t>£76,500</w:t>
            </w:r>
          </w:p>
        </w:tc>
        <w:tc>
          <w:tcPr>
            <w:tcW w:w="1184" w:type="dxa"/>
          </w:tcPr>
          <w:p w14:paraId="4BA8698B" w14:textId="752ECF97" w:rsidR="00B43D03" w:rsidRPr="00B43D03" w:rsidRDefault="00E133AF">
            <w:pPr>
              <w:rPr>
                <w:rFonts w:cstheme="minorHAnsi"/>
              </w:rPr>
            </w:pPr>
            <w:r>
              <w:rPr>
                <w:rFonts w:cstheme="minorHAnsi"/>
              </w:rPr>
              <w:t>4</w:t>
            </w:r>
          </w:p>
        </w:tc>
      </w:tr>
    </w:tbl>
    <w:p w14:paraId="78998702" w14:textId="77777777" w:rsidR="007B0A5C" w:rsidRDefault="007B0A5C"/>
    <w:p w14:paraId="0F36651D" w14:textId="7E0EC9D3" w:rsidR="00C66B56" w:rsidRDefault="00C66B56">
      <w:r>
        <w:t>The West Midlands</w:t>
      </w:r>
      <w:r w:rsidR="00E133AF">
        <w:t xml:space="preserve"> and the London/South East</w:t>
      </w:r>
      <w:r>
        <w:t xml:space="preserve"> programme</w:t>
      </w:r>
      <w:r w:rsidR="00E133AF">
        <w:t>s</w:t>
      </w:r>
      <w:r>
        <w:t xml:space="preserve"> do indicate that portfolio roles are of interest and can be developed to provide professional opportunities to GPs across a variety of healthcare settings using a prime employer model and can be deployed at scale.  The evaluation of the programme</w:t>
      </w:r>
      <w:r w:rsidR="00E133AF">
        <w:t>s</w:t>
      </w:r>
      <w:r>
        <w:t xml:space="preserve"> suggest that benefits can be realised in terms of GPs developing a wider skill set, using their primary care skills and experience in other healthcare settings, making primary care attractive via a portfolio role and encouraging GPs to continue to work in roles that require urgent care skills.</w:t>
      </w:r>
    </w:p>
    <w:p w14:paraId="18619612" w14:textId="7C6C7E51" w:rsidR="00E133AF" w:rsidRDefault="00E133AF">
      <w:r>
        <w:t>The lack of a programmed educational element within the East Midlands offer may account for the lack of take-up</w:t>
      </w:r>
      <w:r w:rsidR="00222D26">
        <w:t>.</w:t>
      </w:r>
    </w:p>
    <w:p w14:paraId="6936DBFD" w14:textId="5209F778" w:rsidR="005D153A" w:rsidRDefault="005D153A">
      <w:r>
        <w:t xml:space="preserve">Of note is the number of sessions on offer for the portfolio programmes with take-up.  Each of them </w:t>
      </w:r>
      <w:r w:rsidR="00157D1E">
        <w:t>is</w:t>
      </w:r>
      <w:r>
        <w:t xml:space="preserve"> offering full time hours which is contrary to the</w:t>
      </w:r>
      <w:r w:rsidR="00157D1E">
        <w:t xml:space="preserve"> findings of the focus group and online survey which suggested most trainees were interested in part-time working.</w:t>
      </w:r>
      <w:r>
        <w:t xml:space="preserve"> </w:t>
      </w:r>
    </w:p>
    <w:p w14:paraId="3092CF15" w14:textId="2BABE492" w:rsidR="00222D26" w:rsidRDefault="00222D26">
      <w:r>
        <w:t xml:space="preserve">The current state analysis does show an appetite for </w:t>
      </w:r>
      <w:r w:rsidR="005D153A">
        <w:t xml:space="preserve">portfolio </w:t>
      </w:r>
      <w:r>
        <w:t>working albeit for a fixed term period.</w:t>
      </w:r>
    </w:p>
    <w:p w14:paraId="464A7DFE" w14:textId="77777777" w:rsidR="00222D26" w:rsidRDefault="00222D26">
      <w:r>
        <w:br w:type="page"/>
      </w:r>
    </w:p>
    <w:p w14:paraId="2AE2FDBE" w14:textId="798C760C" w:rsidR="00222D26" w:rsidRDefault="00222D26" w:rsidP="00222D26">
      <w:pPr>
        <w:pStyle w:val="Heading2"/>
        <w:numPr>
          <w:ilvl w:val="0"/>
          <w:numId w:val="5"/>
        </w:numPr>
      </w:pPr>
      <w:bookmarkStart w:id="8" w:name="_Toc518386212"/>
      <w:r>
        <w:lastRenderedPageBreak/>
        <w:t>Data</w:t>
      </w:r>
      <w:r w:rsidR="00861109">
        <w:t xml:space="preserve"> </w:t>
      </w:r>
      <w:r>
        <w:t>analysis</w:t>
      </w:r>
      <w:bookmarkEnd w:id="8"/>
    </w:p>
    <w:p w14:paraId="437BF3E2" w14:textId="77777777" w:rsidR="00222D26" w:rsidRDefault="00222D26" w:rsidP="00222D26"/>
    <w:p w14:paraId="0988C536" w14:textId="272852B8" w:rsidR="00292F4E" w:rsidRDefault="007236AB" w:rsidP="00222D26">
      <w:r>
        <w:t xml:space="preserve">A simple analysis of </w:t>
      </w:r>
      <w:r w:rsidR="00292F4E">
        <w:t xml:space="preserve">out-of-hours </w:t>
      </w:r>
      <w:r w:rsidR="00CC4E61">
        <w:t>demand</w:t>
      </w:r>
      <w:r w:rsidR="00292F4E">
        <w:t xml:space="preserve"> by age </w:t>
      </w:r>
      <w:r w:rsidR="00CC4E61">
        <w:t xml:space="preserve">and by activity </w:t>
      </w:r>
      <w:r w:rsidR="00292F4E">
        <w:t>was undertaken to ascertain whether the offer of a paediatric or frailty post within a portfolio role would match the demand seen through the IUCS.</w:t>
      </w:r>
    </w:p>
    <w:p w14:paraId="58CA5DF6" w14:textId="77777777" w:rsidR="00292F4E" w:rsidRDefault="00292F4E" w:rsidP="00222D26">
      <w:r>
        <w:t>Table 1 below shows 57% of demand through the service is either paediatric or elderly care in nature.  Of the 0-17yrs age range 25,281 contacts are for 0-4yrs and of the 65+yrs age range 26,840 contacts are for 85+yrs.</w:t>
      </w:r>
    </w:p>
    <w:tbl>
      <w:tblPr>
        <w:tblStyle w:val="TableGrid"/>
        <w:tblW w:w="0" w:type="auto"/>
        <w:tblLook w:val="04A0" w:firstRow="1" w:lastRow="0" w:firstColumn="1" w:lastColumn="0" w:noHBand="0" w:noVBand="1"/>
      </w:tblPr>
      <w:tblGrid>
        <w:gridCol w:w="2254"/>
        <w:gridCol w:w="2254"/>
        <w:gridCol w:w="2254"/>
        <w:gridCol w:w="2254"/>
      </w:tblGrid>
      <w:tr w:rsidR="00292F4E" w14:paraId="0885F69B" w14:textId="77777777" w:rsidTr="00292F4E">
        <w:tc>
          <w:tcPr>
            <w:tcW w:w="2254" w:type="dxa"/>
            <w:tcBorders>
              <w:top w:val="nil"/>
              <w:left w:val="nil"/>
              <w:bottom w:val="nil"/>
              <w:right w:val="nil"/>
            </w:tcBorders>
          </w:tcPr>
          <w:p w14:paraId="1EAF5E20" w14:textId="77777777" w:rsidR="00292F4E" w:rsidRDefault="00292F4E" w:rsidP="00222D26"/>
        </w:tc>
        <w:tc>
          <w:tcPr>
            <w:tcW w:w="6762" w:type="dxa"/>
            <w:gridSpan w:val="3"/>
            <w:tcBorders>
              <w:left w:val="nil"/>
            </w:tcBorders>
            <w:shd w:val="clear" w:color="auto" w:fill="8EAADB" w:themeFill="accent1" w:themeFillTint="99"/>
          </w:tcPr>
          <w:p w14:paraId="0F81FAFA" w14:textId="0469DFB1" w:rsidR="00292F4E" w:rsidRDefault="00292F4E" w:rsidP="00292F4E">
            <w:pPr>
              <w:jc w:val="center"/>
            </w:pPr>
            <w:r w:rsidRPr="00292F4E">
              <w:rPr>
                <w:color w:val="FFFFFF" w:themeColor="background1"/>
              </w:rPr>
              <w:t>Age range</w:t>
            </w:r>
          </w:p>
        </w:tc>
      </w:tr>
      <w:tr w:rsidR="00292F4E" w14:paraId="1E29BB38" w14:textId="77777777" w:rsidTr="00292F4E">
        <w:tc>
          <w:tcPr>
            <w:tcW w:w="2254" w:type="dxa"/>
            <w:tcBorders>
              <w:top w:val="nil"/>
              <w:left w:val="nil"/>
              <w:bottom w:val="single" w:sz="4" w:space="0" w:color="auto"/>
              <w:right w:val="nil"/>
            </w:tcBorders>
          </w:tcPr>
          <w:p w14:paraId="425DBFA1" w14:textId="77777777" w:rsidR="00292F4E" w:rsidRDefault="00292F4E" w:rsidP="00222D26"/>
        </w:tc>
        <w:tc>
          <w:tcPr>
            <w:tcW w:w="2254" w:type="dxa"/>
            <w:tcBorders>
              <w:left w:val="nil"/>
            </w:tcBorders>
            <w:shd w:val="clear" w:color="auto" w:fill="8EAADB" w:themeFill="accent1" w:themeFillTint="99"/>
          </w:tcPr>
          <w:p w14:paraId="218D6220" w14:textId="282BCF32" w:rsidR="00292F4E" w:rsidRPr="00292F4E" w:rsidRDefault="00292F4E" w:rsidP="00292F4E">
            <w:pPr>
              <w:jc w:val="center"/>
              <w:rPr>
                <w:color w:val="FFFFFF" w:themeColor="background1"/>
              </w:rPr>
            </w:pPr>
            <w:r w:rsidRPr="00292F4E">
              <w:rPr>
                <w:color w:val="FFFFFF" w:themeColor="background1"/>
              </w:rPr>
              <w:t>0-17</w:t>
            </w:r>
          </w:p>
        </w:tc>
        <w:tc>
          <w:tcPr>
            <w:tcW w:w="2254" w:type="dxa"/>
            <w:shd w:val="clear" w:color="auto" w:fill="8EAADB" w:themeFill="accent1" w:themeFillTint="99"/>
          </w:tcPr>
          <w:p w14:paraId="47FA28E9" w14:textId="3B9B56D1" w:rsidR="00292F4E" w:rsidRPr="00292F4E" w:rsidRDefault="00292F4E" w:rsidP="00292F4E">
            <w:pPr>
              <w:jc w:val="center"/>
              <w:rPr>
                <w:color w:val="FFFFFF" w:themeColor="background1"/>
              </w:rPr>
            </w:pPr>
            <w:r w:rsidRPr="00292F4E">
              <w:rPr>
                <w:color w:val="FFFFFF" w:themeColor="background1"/>
              </w:rPr>
              <w:t>18-64</w:t>
            </w:r>
          </w:p>
        </w:tc>
        <w:tc>
          <w:tcPr>
            <w:tcW w:w="2254" w:type="dxa"/>
            <w:shd w:val="clear" w:color="auto" w:fill="8EAADB" w:themeFill="accent1" w:themeFillTint="99"/>
          </w:tcPr>
          <w:p w14:paraId="630050D4" w14:textId="133660CA" w:rsidR="00292F4E" w:rsidRPr="00292F4E" w:rsidRDefault="00292F4E" w:rsidP="00292F4E">
            <w:pPr>
              <w:jc w:val="center"/>
              <w:rPr>
                <w:color w:val="FFFFFF" w:themeColor="background1"/>
              </w:rPr>
            </w:pPr>
            <w:r w:rsidRPr="00292F4E">
              <w:rPr>
                <w:color w:val="FFFFFF" w:themeColor="background1"/>
              </w:rPr>
              <w:t>65+</w:t>
            </w:r>
          </w:p>
        </w:tc>
      </w:tr>
      <w:tr w:rsidR="00292F4E" w14:paraId="041EC952" w14:textId="77777777" w:rsidTr="006A231D">
        <w:tc>
          <w:tcPr>
            <w:tcW w:w="2254" w:type="dxa"/>
            <w:tcBorders>
              <w:top w:val="single" w:sz="4" w:space="0" w:color="auto"/>
            </w:tcBorders>
            <w:shd w:val="clear" w:color="auto" w:fill="8EAADB" w:themeFill="accent1" w:themeFillTint="99"/>
          </w:tcPr>
          <w:p w14:paraId="420023E4" w14:textId="4B68A67F" w:rsidR="00292F4E" w:rsidRDefault="00292F4E" w:rsidP="00222D26">
            <w:r w:rsidRPr="006A231D">
              <w:rPr>
                <w:color w:val="FFFFFF" w:themeColor="background1"/>
              </w:rPr>
              <w:t>Oct 2016 – Sept 2017</w:t>
            </w:r>
          </w:p>
        </w:tc>
        <w:tc>
          <w:tcPr>
            <w:tcW w:w="2254" w:type="dxa"/>
          </w:tcPr>
          <w:p w14:paraId="1A6DC5C9" w14:textId="157251B2" w:rsidR="00292F4E" w:rsidRDefault="006A231D" w:rsidP="006A231D">
            <w:pPr>
              <w:jc w:val="center"/>
            </w:pPr>
            <w:r>
              <w:t>41,065</w:t>
            </w:r>
          </w:p>
        </w:tc>
        <w:tc>
          <w:tcPr>
            <w:tcW w:w="2254" w:type="dxa"/>
          </w:tcPr>
          <w:p w14:paraId="00496F57" w14:textId="49059B93" w:rsidR="00292F4E" w:rsidRDefault="006A231D" w:rsidP="006A231D">
            <w:pPr>
              <w:jc w:val="center"/>
            </w:pPr>
            <w:r>
              <w:t>79,667</w:t>
            </w:r>
          </w:p>
        </w:tc>
        <w:tc>
          <w:tcPr>
            <w:tcW w:w="2254" w:type="dxa"/>
          </w:tcPr>
          <w:p w14:paraId="1C40FC61" w14:textId="6D76502E" w:rsidR="00292F4E" w:rsidRDefault="006A231D" w:rsidP="006A231D">
            <w:pPr>
              <w:jc w:val="center"/>
            </w:pPr>
            <w:r>
              <w:t>65,230</w:t>
            </w:r>
          </w:p>
        </w:tc>
      </w:tr>
    </w:tbl>
    <w:p w14:paraId="1CD22A89" w14:textId="092923BF" w:rsidR="00222D26" w:rsidRPr="006A231D" w:rsidRDefault="006A231D" w:rsidP="00222D26">
      <w:pPr>
        <w:rPr>
          <w:b/>
          <w:sz w:val="16"/>
          <w:szCs w:val="16"/>
        </w:rPr>
      </w:pPr>
      <w:r w:rsidRPr="006A231D">
        <w:rPr>
          <w:b/>
          <w:sz w:val="16"/>
          <w:szCs w:val="16"/>
        </w:rPr>
        <w:t>Table 1: Demand by age range</w:t>
      </w:r>
      <w:r w:rsidR="00222D26" w:rsidRPr="006A231D">
        <w:rPr>
          <w:b/>
          <w:sz w:val="16"/>
          <w:szCs w:val="16"/>
        </w:rPr>
        <w:t xml:space="preserve"> </w:t>
      </w:r>
    </w:p>
    <w:p w14:paraId="0868819B" w14:textId="553014BC" w:rsidR="00222D26" w:rsidRDefault="006A231D">
      <w:r>
        <w:t>Table 2 below shows</w:t>
      </w:r>
      <w:r w:rsidR="00CC4E61">
        <w:t xml:space="preserve"> demand</w:t>
      </w:r>
      <w:r w:rsidR="00A33E05">
        <w:t xml:space="preserve"> (over a period of fifteen months between October 2016-December 2017)</w:t>
      </w:r>
      <w:r w:rsidR="00CC4E61">
        <w:t xml:space="preserve"> that resulted in either a</w:t>
      </w:r>
      <w:r w:rsidR="00A33E05">
        <w:t xml:space="preserve"> patient</w:t>
      </w:r>
      <w:r w:rsidR="00CC4E61">
        <w:t xml:space="preserve"> </w:t>
      </w:r>
      <w:proofErr w:type="gramStart"/>
      <w:r w:rsidR="00CC4E61">
        <w:t>visit</w:t>
      </w:r>
      <w:proofErr w:type="gramEnd"/>
      <w:r w:rsidR="00CC4E61">
        <w:t xml:space="preserve"> to a treatment centre o</w:t>
      </w:r>
      <w:r w:rsidR="00A33E05">
        <w:t xml:space="preserve">r a </w:t>
      </w:r>
      <w:r w:rsidR="00CC4E61">
        <w:t>visit by an out-of-hours GP.  Of the 37,368 treatment centre visits for the 0-17yrs age range, 23,402 were for 0-4 year olds.  Of the treatment centre visits, 51% were for paediatric or elderly patients.  The table below shows that of the 28,921 visits by an out-of-hours GP, 23,705 were for patients aged 65 and over (</w:t>
      </w:r>
      <w:r w:rsidR="00A33E05">
        <w:t xml:space="preserve">and </w:t>
      </w:r>
      <w:r w:rsidR="00CC4E61">
        <w:t xml:space="preserve">of those, 12,610 were for patients over 85yrs). </w:t>
      </w:r>
      <w:r w:rsidR="00A33E05">
        <w:t xml:space="preserve">  Of the GP visits, 82% were for elderly patients.</w:t>
      </w:r>
    </w:p>
    <w:tbl>
      <w:tblPr>
        <w:tblStyle w:val="TableGrid"/>
        <w:tblW w:w="0" w:type="auto"/>
        <w:tblLook w:val="04A0" w:firstRow="1" w:lastRow="0" w:firstColumn="1" w:lastColumn="0" w:noHBand="0" w:noVBand="1"/>
      </w:tblPr>
      <w:tblGrid>
        <w:gridCol w:w="2254"/>
        <w:gridCol w:w="2254"/>
        <w:gridCol w:w="2254"/>
        <w:gridCol w:w="2254"/>
      </w:tblGrid>
      <w:tr w:rsidR="00A33E05" w14:paraId="0D47608B" w14:textId="77777777" w:rsidTr="00A33E05">
        <w:tc>
          <w:tcPr>
            <w:tcW w:w="2254" w:type="dxa"/>
            <w:tcBorders>
              <w:top w:val="nil"/>
              <w:left w:val="nil"/>
              <w:bottom w:val="single" w:sz="4" w:space="0" w:color="auto"/>
              <w:right w:val="nil"/>
            </w:tcBorders>
          </w:tcPr>
          <w:p w14:paraId="4346AD06" w14:textId="77777777" w:rsidR="00A33E05" w:rsidRDefault="00A33E05" w:rsidP="00D55D94"/>
        </w:tc>
        <w:tc>
          <w:tcPr>
            <w:tcW w:w="6762" w:type="dxa"/>
            <w:gridSpan w:val="3"/>
            <w:tcBorders>
              <w:left w:val="nil"/>
            </w:tcBorders>
            <w:shd w:val="clear" w:color="auto" w:fill="8EAADB" w:themeFill="accent1" w:themeFillTint="99"/>
          </w:tcPr>
          <w:p w14:paraId="09689C78" w14:textId="77777777" w:rsidR="00A33E05" w:rsidRDefault="00A33E05" w:rsidP="00D55D94">
            <w:pPr>
              <w:jc w:val="center"/>
            </w:pPr>
            <w:r w:rsidRPr="00292F4E">
              <w:rPr>
                <w:color w:val="FFFFFF" w:themeColor="background1"/>
              </w:rPr>
              <w:t>Age range</w:t>
            </w:r>
          </w:p>
        </w:tc>
      </w:tr>
      <w:tr w:rsidR="00A33E05" w14:paraId="2CB190D7" w14:textId="77777777" w:rsidTr="00A33E05">
        <w:tc>
          <w:tcPr>
            <w:tcW w:w="2254"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64F69C6" w14:textId="2CBF50F2" w:rsidR="00A33E05" w:rsidRDefault="00A33E05" w:rsidP="00D55D94">
            <w:r w:rsidRPr="006A231D">
              <w:rPr>
                <w:color w:val="FFFFFF" w:themeColor="background1"/>
              </w:rPr>
              <w:t xml:space="preserve">Oct 2016 – </w:t>
            </w:r>
            <w:r>
              <w:rPr>
                <w:color w:val="FFFFFF" w:themeColor="background1"/>
              </w:rPr>
              <w:t>Dec</w:t>
            </w:r>
            <w:r w:rsidRPr="006A231D">
              <w:rPr>
                <w:color w:val="FFFFFF" w:themeColor="background1"/>
              </w:rPr>
              <w:t xml:space="preserve"> 2017</w:t>
            </w:r>
          </w:p>
        </w:tc>
        <w:tc>
          <w:tcPr>
            <w:tcW w:w="2254" w:type="dxa"/>
            <w:tcBorders>
              <w:left w:val="single" w:sz="4" w:space="0" w:color="auto"/>
            </w:tcBorders>
            <w:shd w:val="clear" w:color="auto" w:fill="8EAADB" w:themeFill="accent1" w:themeFillTint="99"/>
          </w:tcPr>
          <w:p w14:paraId="2F998A07" w14:textId="77777777" w:rsidR="00A33E05" w:rsidRPr="00292F4E" w:rsidRDefault="00A33E05" w:rsidP="00D55D94">
            <w:pPr>
              <w:jc w:val="center"/>
              <w:rPr>
                <w:color w:val="FFFFFF" w:themeColor="background1"/>
              </w:rPr>
            </w:pPr>
            <w:r w:rsidRPr="00292F4E">
              <w:rPr>
                <w:color w:val="FFFFFF" w:themeColor="background1"/>
              </w:rPr>
              <w:t>0-17</w:t>
            </w:r>
          </w:p>
        </w:tc>
        <w:tc>
          <w:tcPr>
            <w:tcW w:w="2254" w:type="dxa"/>
            <w:shd w:val="clear" w:color="auto" w:fill="8EAADB" w:themeFill="accent1" w:themeFillTint="99"/>
          </w:tcPr>
          <w:p w14:paraId="3050F1C1" w14:textId="77777777" w:rsidR="00A33E05" w:rsidRPr="00292F4E" w:rsidRDefault="00A33E05" w:rsidP="00D55D94">
            <w:pPr>
              <w:jc w:val="center"/>
              <w:rPr>
                <w:color w:val="FFFFFF" w:themeColor="background1"/>
              </w:rPr>
            </w:pPr>
            <w:r w:rsidRPr="00292F4E">
              <w:rPr>
                <w:color w:val="FFFFFF" w:themeColor="background1"/>
              </w:rPr>
              <w:t>18-64</w:t>
            </w:r>
          </w:p>
        </w:tc>
        <w:tc>
          <w:tcPr>
            <w:tcW w:w="2254" w:type="dxa"/>
            <w:shd w:val="clear" w:color="auto" w:fill="8EAADB" w:themeFill="accent1" w:themeFillTint="99"/>
          </w:tcPr>
          <w:p w14:paraId="2C575055" w14:textId="77777777" w:rsidR="00A33E05" w:rsidRPr="00292F4E" w:rsidRDefault="00A33E05" w:rsidP="00D55D94">
            <w:pPr>
              <w:jc w:val="center"/>
              <w:rPr>
                <w:color w:val="FFFFFF" w:themeColor="background1"/>
              </w:rPr>
            </w:pPr>
            <w:r w:rsidRPr="00292F4E">
              <w:rPr>
                <w:color w:val="FFFFFF" w:themeColor="background1"/>
              </w:rPr>
              <w:t>65+</w:t>
            </w:r>
          </w:p>
        </w:tc>
      </w:tr>
      <w:tr w:rsidR="00A33E05" w14:paraId="28AE1CAB" w14:textId="77777777" w:rsidTr="00A33E05">
        <w:tc>
          <w:tcPr>
            <w:tcW w:w="2254" w:type="dxa"/>
            <w:tcBorders>
              <w:top w:val="single" w:sz="4" w:space="0" w:color="auto"/>
              <w:bottom w:val="single" w:sz="4" w:space="0" w:color="auto"/>
            </w:tcBorders>
            <w:shd w:val="clear" w:color="auto" w:fill="auto"/>
          </w:tcPr>
          <w:p w14:paraId="330E5848" w14:textId="6D48AD62" w:rsidR="00A33E05" w:rsidRDefault="00A33E05" w:rsidP="00D55D94">
            <w:r>
              <w:t>Treatment Centre</w:t>
            </w:r>
          </w:p>
        </w:tc>
        <w:tc>
          <w:tcPr>
            <w:tcW w:w="2254" w:type="dxa"/>
          </w:tcPr>
          <w:p w14:paraId="485D8345" w14:textId="1F41BF22" w:rsidR="00A33E05" w:rsidRDefault="00A33E05" w:rsidP="00D55D94">
            <w:pPr>
              <w:jc w:val="center"/>
            </w:pPr>
            <w:r>
              <w:t>37,368</w:t>
            </w:r>
          </w:p>
        </w:tc>
        <w:tc>
          <w:tcPr>
            <w:tcW w:w="2254" w:type="dxa"/>
          </w:tcPr>
          <w:p w14:paraId="4681C1FC" w14:textId="26817310" w:rsidR="00A33E05" w:rsidRDefault="00A33E05" w:rsidP="00D55D94">
            <w:pPr>
              <w:jc w:val="center"/>
            </w:pPr>
            <w:r>
              <w:t>47,588</w:t>
            </w:r>
          </w:p>
        </w:tc>
        <w:tc>
          <w:tcPr>
            <w:tcW w:w="2254" w:type="dxa"/>
          </w:tcPr>
          <w:p w14:paraId="7AFBCB2B" w14:textId="6FAEB085" w:rsidR="00A33E05" w:rsidRDefault="00A33E05" w:rsidP="00D55D94">
            <w:pPr>
              <w:jc w:val="center"/>
            </w:pPr>
            <w:r>
              <w:t>12,230</w:t>
            </w:r>
          </w:p>
        </w:tc>
      </w:tr>
      <w:tr w:rsidR="00A33E05" w14:paraId="7D6A56F1" w14:textId="77777777" w:rsidTr="00A33E05">
        <w:tc>
          <w:tcPr>
            <w:tcW w:w="2254" w:type="dxa"/>
            <w:tcBorders>
              <w:top w:val="single" w:sz="4" w:space="0" w:color="auto"/>
            </w:tcBorders>
            <w:shd w:val="clear" w:color="auto" w:fill="auto"/>
          </w:tcPr>
          <w:p w14:paraId="367A5DB4" w14:textId="34810386" w:rsidR="00A33E05" w:rsidRDefault="000453AF" w:rsidP="00D55D94">
            <w:r>
              <w:t xml:space="preserve">GP </w:t>
            </w:r>
            <w:r w:rsidR="00A33E05">
              <w:t>Visit</w:t>
            </w:r>
          </w:p>
        </w:tc>
        <w:tc>
          <w:tcPr>
            <w:tcW w:w="2254" w:type="dxa"/>
          </w:tcPr>
          <w:p w14:paraId="0F6980F6" w14:textId="62D1DB38" w:rsidR="00A33E05" w:rsidRDefault="00A33E05" w:rsidP="00D55D94">
            <w:pPr>
              <w:jc w:val="center"/>
            </w:pPr>
            <w:r>
              <w:t>543</w:t>
            </w:r>
          </w:p>
        </w:tc>
        <w:tc>
          <w:tcPr>
            <w:tcW w:w="2254" w:type="dxa"/>
          </w:tcPr>
          <w:p w14:paraId="5D85042E" w14:textId="53CC634F" w:rsidR="00A33E05" w:rsidRDefault="00A33E05" w:rsidP="00D55D94">
            <w:pPr>
              <w:jc w:val="center"/>
            </w:pPr>
            <w:r>
              <w:t>4,673</w:t>
            </w:r>
          </w:p>
        </w:tc>
        <w:tc>
          <w:tcPr>
            <w:tcW w:w="2254" w:type="dxa"/>
          </w:tcPr>
          <w:p w14:paraId="52FE35FF" w14:textId="2D0564AF" w:rsidR="00A33E05" w:rsidRDefault="00A33E05" w:rsidP="00D55D94">
            <w:pPr>
              <w:jc w:val="center"/>
            </w:pPr>
            <w:r>
              <w:t>23,705</w:t>
            </w:r>
          </w:p>
        </w:tc>
      </w:tr>
    </w:tbl>
    <w:p w14:paraId="498A6F1A" w14:textId="42298B98" w:rsidR="00A33E05" w:rsidRDefault="000453AF">
      <w:r w:rsidRPr="006A231D">
        <w:rPr>
          <w:b/>
          <w:sz w:val="16"/>
          <w:szCs w:val="16"/>
        </w:rPr>
        <w:t xml:space="preserve">Table </w:t>
      </w:r>
      <w:r>
        <w:rPr>
          <w:b/>
          <w:sz w:val="16"/>
          <w:szCs w:val="16"/>
        </w:rPr>
        <w:t>2</w:t>
      </w:r>
      <w:r w:rsidRPr="006A231D">
        <w:rPr>
          <w:b/>
          <w:sz w:val="16"/>
          <w:szCs w:val="16"/>
        </w:rPr>
        <w:t xml:space="preserve">: Demand </w:t>
      </w:r>
      <w:r>
        <w:rPr>
          <w:b/>
          <w:sz w:val="16"/>
          <w:szCs w:val="16"/>
        </w:rPr>
        <w:t>by Treatment Centre and GP Visit</w:t>
      </w:r>
    </w:p>
    <w:p w14:paraId="6DF392B7" w14:textId="5ACDCC89" w:rsidR="004F6C67" w:rsidRDefault="00A33E05">
      <w:r>
        <w:t xml:space="preserve">This simple data analysis indicates that to include a paediatric or frailty post within a portfolio role would be of benefit to the Devon system based on the type of demand the Integrated Urgent Care Service is dealing with.  To have GPs with the knowledge and experience of services for paediatric and elderly patients across healthcare settings and to have the opportunity to share that knowledge between services </w:t>
      </w:r>
      <w:r w:rsidR="004F6C67">
        <w:t>should provide patient and system benefits in terms of service integration and accessing the right</w:t>
      </w:r>
      <w:r w:rsidR="00FC53F1">
        <w:t>/alternative</w:t>
      </w:r>
      <w:r w:rsidR="004F6C67">
        <w:t xml:space="preserve"> services at the right time.</w:t>
      </w:r>
    </w:p>
    <w:p w14:paraId="7836ABA9" w14:textId="77777777" w:rsidR="004F6C67" w:rsidRDefault="004F6C67">
      <w:r>
        <w:br w:type="page"/>
      </w:r>
    </w:p>
    <w:p w14:paraId="0DB7EB65" w14:textId="6F0AADC2" w:rsidR="004F6C67" w:rsidRDefault="004F6C67" w:rsidP="004F6C67">
      <w:pPr>
        <w:pStyle w:val="Heading2"/>
        <w:numPr>
          <w:ilvl w:val="0"/>
          <w:numId w:val="5"/>
        </w:numPr>
      </w:pPr>
      <w:bookmarkStart w:id="9" w:name="_Toc518386213"/>
      <w:r>
        <w:lastRenderedPageBreak/>
        <w:t>Financial analysis</w:t>
      </w:r>
      <w:bookmarkEnd w:id="9"/>
    </w:p>
    <w:p w14:paraId="69B49B00" w14:textId="2CE48132" w:rsidR="00CC4E61" w:rsidRDefault="00A33E05" w:rsidP="004F6C67">
      <w:r>
        <w:t xml:space="preserve">   </w:t>
      </w:r>
    </w:p>
    <w:p w14:paraId="1735A30C" w14:textId="77777777" w:rsidR="00157D1E" w:rsidRDefault="00157D1E" w:rsidP="004F6C67">
      <w:r>
        <w:t>Devon Doctors current workforce model within the IUCS relies on sessional GPs.  Any change to that model, such as the introduction of salaried (portfolio) GPs needs to be, at best, commercially neutral bearing in mind the organisation is a social enterprise.</w:t>
      </w:r>
    </w:p>
    <w:p w14:paraId="7A5B859C" w14:textId="77777777" w:rsidR="00327FF2" w:rsidRDefault="00157D1E" w:rsidP="004F6C67">
      <w:r>
        <w:t>A financial analysis of the different workforce models was undertaken comparing the costs of a salaried and a sessional GP.  The analysis</w:t>
      </w:r>
      <w:r w:rsidR="00327FF2">
        <w:t xml:space="preserve"> included indemnity, salary, pension, NIC, annual leave, sickness and study leave costs and compared salary and sessional GPs per session ranging from one to eight sessions.</w:t>
      </w:r>
    </w:p>
    <w:p w14:paraId="11913B3F" w14:textId="5DE71A68" w:rsidR="00157D1E" w:rsidRDefault="00327FF2" w:rsidP="004F6C67">
      <w:r>
        <w:t>Whilst the complete analysis is commercially sensitive the exercise did show modest savings between the use of sessional GPs and salaried GPs as the table below shows.</w:t>
      </w:r>
      <w:r w:rsidR="00157D1E">
        <w:t xml:space="preserve"> </w:t>
      </w:r>
    </w:p>
    <w:p w14:paraId="45EB933F" w14:textId="23422A13" w:rsidR="00157D1E" w:rsidRDefault="00501C3E" w:rsidP="004F6C67">
      <w:r w:rsidRPr="00501C3E">
        <w:rPr>
          <w:noProof/>
        </w:rPr>
        <w:drawing>
          <wp:inline distT="0" distB="0" distL="0" distR="0" wp14:anchorId="76E96E78" wp14:editId="2ACF6209">
            <wp:extent cx="5730137" cy="875489"/>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9459" cy="886081"/>
                    </a:xfrm>
                    <a:prstGeom prst="rect">
                      <a:avLst/>
                    </a:prstGeom>
                    <a:noFill/>
                    <a:ln>
                      <a:noFill/>
                    </a:ln>
                  </pic:spPr>
                </pic:pic>
              </a:graphicData>
            </a:graphic>
          </wp:inline>
        </w:drawing>
      </w:r>
    </w:p>
    <w:p w14:paraId="0EE4F161" w14:textId="4BEABA21" w:rsidR="000453AF" w:rsidRDefault="000453AF" w:rsidP="004F6C67">
      <w:r w:rsidRPr="006A231D">
        <w:rPr>
          <w:b/>
          <w:sz w:val="16"/>
          <w:szCs w:val="16"/>
        </w:rPr>
        <w:t xml:space="preserve">Table </w:t>
      </w:r>
      <w:r>
        <w:rPr>
          <w:b/>
          <w:sz w:val="16"/>
          <w:szCs w:val="16"/>
        </w:rPr>
        <w:t>3</w:t>
      </w:r>
      <w:r w:rsidRPr="006A231D">
        <w:rPr>
          <w:b/>
          <w:sz w:val="16"/>
          <w:szCs w:val="16"/>
        </w:rPr>
        <w:t xml:space="preserve">: </w:t>
      </w:r>
      <w:r>
        <w:rPr>
          <w:b/>
          <w:sz w:val="16"/>
          <w:szCs w:val="16"/>
        </w:rPr>
        <w:t>Potential Savings (£) from salaried GPs</w:t>
      </w:r>
    </w:p>
    <w:p w14:paraId="2EA6FF85" w14:textId="5EA2D7F9" w:rsidR="00D55D94" w:rsidRDefault="00327FF2" w:rsidP="004F6C67">
      <w:r>
        <w:t xml:space="preserve">It is important to note this analysis does not </w:t>
      </w:r>
      <w:r w:rsidR="000453AF">
        <w:t>consider</w:t>
      </w:r>
      <w:r>
        <w:t xml:space="preserve"> other HR, management and clinical costs</w:t>
      </w:r>
      <w:r w:rsidR="00233283">
        <w:t xml:space="preserve"> or savings</w:t>
      </w:r>
      <w:r>
        <w:t xml:space="preserve"> associated with </w:t>
      </w:r>
      <w:r w:rsidR="0065783F">
        <w:t xml:space="preserve">a shift from sessional to </w:t>
      </w:r>
      <w:r>
        <w:t>employed salaried GPs.</w:t>
      </w:r>
      <w:r w:rsidR="00D55D94">
        <w:t xml:space="preserve">  It would be necessary to undertake further financial analysis should the number of portfolio roles </w:t>
      </w:r>
      <w:r w:rsidR="00544D25">
        <w:t xml:space="preserve">coming into the organisation </w:t>
      </w:r>
      <w:r w:rsidR="00D55D94">
        <w:t xml:space="preserve">be such that it </w:t>
      </w:r>
      <w:r w:rsidR="00544D25">
        <w:t>negatively</w:t>
      </w:r>
      <w:r w:rsidR="0065783F">
        <w:t xml:space="preserve"> or positively</w:t>
      </w:r>
      <w:r w:rsidR="00544D25">
        <w:t xml:space="preserve"> </w:t>
      </w:r>
      <w:r w:rsidR="00D55D94">
        <w:t xml:space="preserve">impacts the </w:t>
      </w:r>
      <w:r w:rsidR="00544D25">
        <w:t xml:space="preserve">capacity of </w:t>
      </w:r>
      <w:r w:rsidR="00D55D94">
        <w:t>current HR and management functions or roles</w:t>
      </w:r>
      <w:r w:rsidR="00544D25">
        <w:t>.</w:t>
      </w:r>
      <w:r w:rsidR="00D55D94">
        <w:t xml:space="preserve"> </w:t>
      </w:r>
    </w:p>
    <w:p w14:paraId="7EF5F2BF" w14:textId="77777777" w:rsidR="00D55D94" w:rsidRDefault="00D55D94">
      <w:r>
        <w:br w:type="page"/>
      </w:r>
    </w:p>
    <w:p w14:paraId="65BC972B" w14:textId="47FC0884" w:rsidR="00544D25" w:rsidRDefault="00544D25" w:rsidP="00D55D94">
      <w:pPr>
        <w:pStyle w:val="Heading2"/>
        <w:numPr>
          <w:ilvl w:val="0"/>
          <w:numId w:val="5"/>
        </w:numPr>
      </w:pPr>
      <w:bookmarkStart w:id="10" w:name="_Toc518386214"/>
      <w:r>
        <w:lastRenderedPageBreak/>
        <w:t>Options for salaried portfolio role</w:t>
      </w:r>
      <w:bookmarkEnd w:id="10"/>
    </w:p>
    <w:p w14:paraId="2ADF84EC" w14:textId="77777777" w:rsidR="00E449AB" w:rsidRPr="00E449AB" w:rsidRDefault="00E449AB" w:rsidP="00E449AB"/>
    <w:p w14:paraId="4EB9B078" w14:textId="24756DA5" w:rsidR="00E449AB" w:rsidRPr="00E449AB" w:rsidRDefault="00E449AB" w:rsidP="00E449AB">
      <w:pPr>
        <w:pStyle w:val="Heading5"/>
      </w:pPr>
      <w:bookmarkStart w:id="11" w:name="_Toc518386215"/>
      <w:r>
        <w:t>7.1 The role</w:t>
      </w:r>
      <w:bookmarkEnd w:id="11"/>
    </w:p>
    <w:p w14:paraId="7EB232E4" w14:textId="69BA1E68" w:rsidR="000453AF" w:rsidRDefault="00121F7B" w:rsidP="00544D25">
      <w:r>
        <w:t>Based on the research and analysis completed; engagement with Royal Devon and Exeter NHS Foundation Trust</w:t>
      </w:r>
      <w:r w:rsidR="000957E8">
        <w:t xml:space="preserve"> (RDE)</w:t>
      </w:r>
      <w:r>
        <w:t>; and engagement with University Hospitals Plymouth NHS Trust</w:t>
      </w:r>
      <w:r w:rsidR="000957E8">
        <w:t xml:space="preserve"> (UHP)</w:t>
      </w:r>
      <w:r>
        <w:t>, the development of a salaried portfolio role will consider the following:</w:t>
      </w:r>
    </w:p>
    <w:tbl>
      <w:tblPr>
        <w:tblStyle w:val="TableGrid"/>
        <w:tblW w:w="0" w:type="auto"/>
        <w:tblLook w:val="04A0" w:firstRow="1" w:lastRow="0" w:firstColumn="1" w:lastColumn="0" w:noHBand="0" w:noVBand="1"/>
      </w:tblPr>
      <w:tblGrid>
        <w:gridCol w:w="1980"/>
        <w:gridCol w:w="7036"/>
      </w:tblGrid>
      <w:tr w:rsidR="00460DD7" w14:paraId="437DCAC2" w14:textId="77777777" w:rsidTr="00460DD7">
        <w:tc>
          <w:tcPr>
            <w:tcW w:w="1980" w:type="dxa"/>
          </w:tcPr>
          <w:p w14:paraId="6E8D6196" w14:textId="2F017179" w:rsidR="00460DD7" w:rsidRPr="00460DD7" w:rsidRDefault="00460DD7" w:rsidP="00544D25">
            <w:pPr>
              <w:rPr>
                <w:b/>
              </w:rPr>
            </w:pPr>
            <w:r w:rsidRPr="00460DD7">
              <w:rPr>
                <w:b/>
              </w:rPr>
              <w:t>Role</w:t>
            </w:r>
          </w:p>
        </w:tc>
        <w:tc>
          <w:tcPr>
            <w:tcW w:w="7036" w:type="dxa"/>
          </w:tcPr>
          <w:p w14:paraId="66CCF0C3" w14:textId="77777777" w:rsidR="00460DD7" w:rsidRDefault="00460DD7" w:rsidP="00544D25">
            <w:r>
              <w:t>Salaried Portfolio GP with a special interest in:</w:t>
            </w:r>
          </w:p>
          <w:p w14:paraId="40E59B26" w14:textId="062F5284" w:rsidR="00460DD7" w:rsidRDefault="00460DD7" w:rsidP="00544D25">
            <w:r>
              <w:t>Healthcare of Older People or Paediatrics or Emergency Department</w:t>
            </w:r>
          </w:p>
        </w:tc>
      </w:tr>
      <w:tr w:rsidR="00460DD7" w14:paraId="288CF498" w14:textId="77777777" w:rsidTr="00460DD7">
        <w:tc>
          <w:tcPr>
            <w:tcW w:w="1980" w:type="dxa"/>
          </w:tcPr>
          <w:p w14:paraId="0476CF08" w14:textId="061A8386" w:rsidR="00460DD7" w:rsidRPr="00460DD7" w:rsidRDefault="00460DD7" w:rsidP="00544D25">
            <w:pPr>
              <w:rPr>
                <w:b/>
              </w:rPr>
            </w:pPr>
            <w:r>
              <w:rPr>
                <w:b/>
              </w:rPr>
              <w:t>Healthcare settings</w:t>
            </w:r>
          </w:p>
        </w:tc>
        <w:tc>
          <w:tcPr>
            <w:tcW w:w="7036" w:type="dxa"/>
          </w:tcPr>
          <w:p w14:paraId="5CF11A5B" w14:textId="4111E9F4" w:rsidR="00460DD7" w:rsidRDefault="00460DD7" w:rsidP="00544D25">
            <w:r>
              <w:t>General Practice; Integrated Urgent Care Service; Acute Trust</w:t>
            </w:r>
          </w:p>
        </w:tc>
      </w:tr>
      <w:tr w:rsidR="00460DD7" w14:paraId="313FFDD6" w14:textId="77777777" w:rsidTr="00460DD7">
        <w:tc>
          <w:tcPr>
            <w:tcW w:w="1980" w:type="dxa"/>
          </w:tcPr>
          <w:p w14:paraId="4BD85908" w14:textId="4AF18BFD" w:rsidR="00460DD7" w:rsidRPr="00460DD7" w:rsidRDefault="00460DD7" w:rsidP="00544D25">
            <w:pPr>
              <w:rPr>
                <w:b/>
              </w:rPr>
            </w:pPr>
            <w:r w:rsidRPr="00460DD7">
              <w:rPr>
                <w:b/>
              </w:rPr>
              <w:t>Employer</w:t>
            </w:r>
          </w:p>
        </w:tc>
        <w:tc>
          <w:tcPr>
            <w:tcW w:w="7036" w:type="dxa"/>
          </w:tcPr>
          <w:p w14:paraId="45DC589B" w14:textId="41D8AB81" w:rsidR="00460DD7" w:rsidRDefault="00460DD7" w:rsidP="00544D25">
            <w:r>
              <w:t>Devon Doctors Ltd.</w:t>
            </w:r>
          </w:p>
        </w:tc>
      </w:tr>
      <w:tr w:rsidR="00460DD7" w14:paraId="2B4D51C4" w14:textId="77777777" w:rsidTr="00460DD7">
        <w:tc>
          <w:tcPr>
            <w:tcW w:w="1980" w:type="dxa"/>
          </w:tcPr>
          <w:p w14:paraId="7EF9D82D" w14:textId="15E9CC91" w:rsidR="00460DD7" w:rsidRPr="00460DD7" w:rsidRDefault="00460DD7" w:rsidP="00544D25">
            <w:pPr>
              <w:rPr>
                <w:b/>
              </w:rPr>
            </w:pPr>
            <w:r w:rsidRPr="00460DD7">
              <w:rPr>
                <w:b/>
              </w:rPr>
              <w:t>Contract</w:t>
            </w:r>
          </w:p>
        </w:tc>
        <w:tc>
          <w:tcPr>
            <w:tcW w:w="7036" w:type="dxa"/>
          </w:tcPr>
          <w:p w14:paraId="50F7C495" w14:textId="6C5DAA21" w:rsidR="00460DD7" w:rsidRDefault="00E449AB" w:rsidP="00544D25">
            <w:r>
              <w:t>Substantive</w:t>
            </w:r>
            <w:r w:rsidR="008E2DEB">
              <w:t xml:space="preserve"> or Fixed Term</w:t>
            </w:r>
            <w:r>
              <w:t xml:space="preserve"> </w:t>
            </w:r>
            <w:r w:rsidR="00460DD7">
              <w:t>GP Model Contract (BMA) – Devon Doctors</w:t>
            </w:r>
          </w:p>
          <w:p w14:paraId="51E72398" w14:textId="020AB3C3" w:rsidR="00460DD7" w:rsidRDefault="00460DD7" w:rsidP="00544D25">
            <w:r>
              <w:t xml:space="preserve">Honorary Contract with Acute Trust (and GP Practice if outside Devon Doctors Group) </w:t>
            </w:r>
          </w:p>
        </w:tc>
      </w:tr>
      <w:tr w:rsidR="00460DD7" w14:paraId="4ECE5ADC" w14:textId="77777777" w:rsidTr="00460DD7">
        <w:tc>
          <w:tcPr>
            <w:tcW w:w="1980" w:type="dxa"/>
          </w:tcPr>
          <w:p w14:paraId="504693FC" w14:textId="71FAE77C" w:rsidR="00460DD7" w:rsidRPr="00460DD7" w:rsidRDefault="00460DD7" w:rsidP="00544D25">
            <w:pPr>
              <w:rPr>
                <w:b/>
              </w:rPr>
            </w:pPr>
            <w:r w:rsidRPr="00460DD7">
              <w:rPr>
                <w:b/>
              </w:rPr>
              <w:t>Indemnity</w:t>
            </w:r>
          </w:p>
        </w:tc>
        <w:tc>
          <w:tcPr>
            <w:tcW w:w="7036" w:type="dxa"/>
          </w:tcPr>
          <w:p w14:paraId="503F936B" w14:textId="77777777" w:rsidR="00460DD7" w:rsidRDefault="00460DD7" w:rsidP="00544D25">
            <w:r>
              <w:t>Reimbursed by Devon Doctors for IUCS and General Practice</w:t>
            </w:r>
          </w:p>
          <w:p w14:paraId="3EA804D6" w14:textId="1BE85244" w:rsidR="00460DD7" w:rsidRDefault="00460DD7" w:rsidP="00544D25">
            <w:r>
              <w:t>NHS Indemnity scheme cover for Trust work</w:t>
            </w:r>
          </w:p>
        </w:tc>
      </w:tr>
      <w:tr w:rsidR="00E449AB" w14:paraId="2C80B0C6" w14:textId="77777777" w:rsidTr="00460DD7">
        <w:tc>
          <w:tcPr>
            <w:tcW w:w="1980" w:type="dxa"/>
          </w:tcPr>
          <w:p w14:paraId="1E09D71A" w14:textId="52690D17" w:rsidR="00E449AB" w:rsidRPr="00460DD7" w:rsidRDefault="00E449AB" w:rsidP="00544D25">
            <w:pPr>
              <w:rPr>
                <w:b/>
              </w:rPr>
            </w:pPr>
            <w:r>
              <w:rPr>
                <w:b/>
              </w:rPr>
              <w:t>Education</w:t>
            </w:r>
          </w:p>
        </w:tc>
        <w:tc>
          <w:tcPr>
            <w:tcW w:w="7036" w:type="dxa"/>
          </w:tcPr>
          <w:p w14:paraId="7A8DC9B9" w14:textId="642454D2" w:rsidR="00E449AB" w:rsidRDefault="00E449AB" w:rsidP="00544D25">
            <w:r>
              <w:t>Protected learning time to include peer support and clinical supervision</w:t>
            </w:r>
          </w:p>
        </w:tc>
      </w:tr>
    </w:tbl>
    <w:p w14:paraId="42CA54EA" w14:textId="77777777" w:rsidR="00460DD7" w:rsidRDefault="00460DD7" w:rsidP="00544D25"/>
    <w:p w14:paraId="68AE9B12" w14:textId="312B9042" w:rsidR="00E449AB" w:rsidRDefault="00E449AB" w:rsidP="00544D25">
      <w:r>
        <w:t>Based on local findings from the focus group and online survey, it is recommended that two role options be developed; one based on an 8 session job plan and one based on a 6 session job plan.</w:t>
      </w:r>
    </w:p>
    <w:p w14:paraId="1A20BADB" w14:textId="77777777" w:rsidR="00E449AB" w:rsidRDefault="00E449AB" w:rsidP="00544D25"/>
    <w:p w14:paraId="5DE330C1" w14:textId="77777777" w:rsidR="00E449AB" w:rsidRPr="00E449AB" w:rsidRDefault="00E449AB" w:rsidP="00E449AB">
      <w:r w:rsidRPr="00E449AB">
        <w:rPr>
          <w:b/>
          <w:bCs/>
          <w:u w:val="single"/>
        </w:rPr>
        <w:t>Job Plan 1</w:t>
      </w:r>
    </w:p>
    <w:p w14:paraId="6FD23FFD" w14:textId="77777777" w:rsidR="00E449AB" w:rsidRPr="00E449AB" w:rsidRDefault="00E449AB" w:rsidP="00E449AB">
      <w:r w:rsidRPr="00E449AB">
        <w:rPr>
          <w:b/>
          <w:bCs/>
        </w:rPr>
        <w:t>Sessions:</w:t>
      </w:r>
      <w:r w:rsidRPr="00E449AB">
        <w:tab/>
      </w:r>
      <w:r w:rsidRPr="00E449AB">
        <w:tab/>
        <w:t>8 sessions per week / 30.5 hours (Mon-Sun) / plus protected learning time</w:t>
      </w:r>
    </w:p>
    <w:p w14:paraId="6FEDD1FB" w14:textId="77777777" w:rsidR="00E449AB" w:rsidRPr="00E449AB" w:rsidRDefault="00E449AB" w:rsidP="00E449AB">
      <w:r w:rsidRPr="00E449AB">
        <w:rPr>
          <w:b/>
          <w:bCs/>
        </w:rPr>
        <w:t>*Sessional breakdown:</w:t>
      </w:r>
      <w:r w:rsidRPr="00E449AB">
        <w:tab/>
        <w:t xml:space="preserve">3 sessions in Acute Trust (Healthcare of Older People) </w:t>
      </w:r>
    </w:p>
    <w:p w14:paraId="119D7ACE" w14:textId="2D3EDBEE" w:rsidR="00E449AB" w:rsidRPr="00E449AB" w:rsidRDefault="00E449AB" w:rsidP="00E449AB">
      <w:r w:rsidRPr="00E449AB">
        <w:tab/>
      </w:r>
      <w:r>
        <w:tab/>
      </w:r>
      <w:r>
        <w:tab/>
      </w:r>
      <w:r w:rsidRPr="00E449AB">
        <w:t>3 sessions General Practice (in hours)</w:t>
      </w:r>
    </w:p>
    <w:p w14:paraId="617CE49C" w14:textId="7ECA0BA3" w:rsidR="00E449AB" w:rsidRPr="00E449AB" w:rsidRDefault="00E449AB" w:rsidP="00E449AB">
      <w:r w:rsidRPr="00E449AB">
        <w:tab/>
      </w:r>
      <w:r>
        <w:tab/>
      </w:r>
      <w:r>
        <w:tab/>
      </w:r>
      <w:r w:rsidRPr="00E449AB">
        <w:t xml:space="preserve">**1 session Integrated Urgent Care Service (OOH) </w:t>
      </w:r>
      <w:r w:rsidRPr="00E449AB">
        <w:tab/>
      </w:r>
      <w:r w:rsidRPr="00E449AB">
        <w:tab/>
      </w:r>
    </w:p>
    <w:p w14:paraId="0F5B2238" w14:textId="71E173D3" w:rsidR="00E449AB" w:rsidRPr="00E449AB" w:rsidRDefault="00E449AB" w:rsidP="00E449AB">
      <w:r w:rsidRPr="00E449AB">
        <w:tab/>
      </w:r>
      <w:r>
        <w:tab/>
      </w:r>
      <w:r>
        <w:tab/>
      </w:r>
      <w:r w:rsidRPr="00E449AB">
        <w:t>1 session protected learning time</w:t>
      </w:r>
    </w:p>
    <w:p w14:paraId="363C8740" w14:textId="77777777" w:rsidR="00E449AB" w:rsidRPr="00E449AB" w:rsidRDefault="00E449AB" w:rsidP="00E449AB">
      <w:r w:rsidRPr="00E449AB">
        <w:rPr>
          <w:b/>
          <w:bCs/>
          <w:u w:val="single"/>
        </w:rPr>
        <w:t>Job Plan 2</w:t>
      </w:r>
    </w:p>
    <w:p w14:paraId="4B1D71F9" w14:textId="77777777" w:rsidR="00E449AB" w:rsidRPr="00E449AB" w:rsidRDefault="00E449AB" w:rsidP="00E449AB">
      <w:r w:rsidRPr="00E449AB">
        <w:rPr>
          <w:b/>
          <w:bCs/>
        </w:rPr>
        <w:t>Sessions:</w:t>
      </w:r>
      <w:r w:rsidRPr="00E449AB">
        <w:tab/>
      </w:r>
      <w:r w:rsidRPr="00E449AB">
        <w:tab/>
        <w:t>6 sessions per week / 26 hours (Mon-Sun) / plus protected learning time</w:t>
      </w:r>
    </w:p>
    <w:p w14:paraId="43AA417D" w14:textId="77777777" w:rsidR="00E449AB" w:rsidRPr="00E449AB" w:rsidRDefault="00E449AB" w:rsidP="00E449AB">
      <w:r w:rsidRPr="00E449AB">
        <w:rPr>
          <w:b/>
          <w:bCs/>
        </w:rPr>
        <w:t>*Sessional breakdown:</w:t>
      </w:r>
      <w:r w:rsidRPr="00E449AB">
        <w:tab/>
        <w:t>3 sessions in Acute Trust (Healthcare of Older People)</w:t>
      </w:r>
    </w:p>
    <w:p w14:paraId="759F1EB1" w14:textId="41378619" w:rsidR="00E449AB" w:rsidRPr="00E449AB" w:rsidRDefault="00E449AB" w:rsidP="00E449AB">
      <w:r w:rsidRPr="00E449AB">
        <w:tab/>
      </w:r>
      <w:r>
        <w:tab/>
      </w:r>
      <w:r>
        <w:tab/>
      </w:r>
      <w:r w:rsidRPr="00E449AB">
        <w:t>2 sessions General Practice (in hours)</w:t>
      </w:r>
    </w:p>
    <w:p w14:paraId="746954AC" w14:textId="13B518C1" w:rsidR="00E449AB" w:rsidRPr="00E449AB" w:rsidRDefault="00E449AB" w:rsidP="00E449AB">
      <w:r w:rsidRPr="00E449AB">
        <w:tab/>
      </w:r>
      <w:r>
        <w:tab/>
      </w:r>
      <w:r>
        <w:tab/>
      </w:r>
      <w:r w:rsidRPr="00E449AB">
        <w:t>**1 session Integrated Urgent Care Service (OOH)</w:t>
      </w:r>
    </w:p>
    <w:p w14:paraId="07E24BBD" w14:textId="25835C3D" w:rsidR="00E449AB" w:rsidRPr="00E449AB" w:rsidRDefault="00E449AB" w:rsidP="00E449AB">
      <w:r w:rsidRPr="00E449AB">
        <w:tab/>
      </w:r>
      <w:r w:rsidRPr="00E449AB">
        <w:tab/>
      </w:r>
      <w:r>
        <w:tab/>
      </w:r>
      <w:r w:rsidRPr="00E449AB">
        <w:t>(with 2 sessions per month protected learning time)</w:t>
      </w:r>
    </w:p>
    <w:p w14:paraId="435572A7" w14:textId="77777777" w:rsidR="00E449AB" w:rsidRDefault="00E449AB" w:rsidP="00E449AB"/>
    <w:p w14:paraId="0F8051E1" w14:textId="3B764582" w:rsidR="00E449AB" w:rsidRPr="00E449AB" w:rsidRDefault="00E449AB" w:rsidP="00E449AB">
      <w:r w:rsidRPr="00E449AB">
        <w:t xml:space="preserve"> * Session length is dependent on health care setting: Acute Trust session 4hrs, General Practice (in hours) session 4.5hrs, IUCS (OOH) session 5hrs, Protected Learning Time session 4hrs </w:t>
      </w:r>
    </w:p>
    <w:p w14:paraId="48D1CB67" w14:textId="5BFB2AD3" w:rsidR="00E449AB" w:rsidRDefault="00E449AB" w:rsidP="00E449AB">
      <w:r w:rsidRPr="00E449AB">
        <w:t>** opportunity for additional OOH sessions if desired.</w:t>
      </w:r>
    </w:p>
    <w:p w14:paraId="031C117B" w14:textId="4A9C8DDC" w:rsidR="00E449AB" w:rsidRDefault="00E449AB" w:rsidP="00B303A4">
      <w:pPr>
        <w:pStyle w:val="Heading5"/>
      </w:pPr>
      <w:bookmarkStart w:id="12" w:name="_Toc518386216"/>
      <w:r>
        <w:lastRenderedPageBreak/>
        <w:t>7.2 Salary</w:t>
      </w:r>
      <w:bookmarkEnd w:id="12"/>
    </w:p>
    <w:p w14:paraId="72FB0331" w14:textId="5F6140E8" w:rsidR="00B303A4" w:rsidRDefault="00B303A4" w:rsidP="00B303A4">
      <w:r>
        <w:t xml:space="preserve">The research has shown that the identified portfolio fellowship programmes offer a salary between £75,249 and £76,500 for a 10 session job planned role.  The VTS focus group indicated that trainees would expect £60,000-£70,000 for a first role post-qualification and that £9,000 per session (annualised) was in line with expectations.  Results from the online survey </w:t>
      </w:r>
      <w:r w:rsidR="000957E8">
        <w:t>identified salary expectations of up to £75,000.</w:t>
      </w:r>
    </w:p>
    <w:p w14:paraId="3103F92C" w14:textId="53919440" w:rsidR="000957E8" w:rsidRDefault="000957E8" w:rsidP="00B303A4">
      <w:r>
        <w:t>The research did not cover how the salary was set for the portfolio fellowship programmes.  Following conversations with the RDE and UHP there is clearly a need for transparency when setting the salary and for some principles to be agreed.</w:t>
      </w:r>
    </w:p>
    <w:p w14:paraId="12F1353E" w14:textId="18EDE7E8" w:rsidR="000957E8" w:rsidRDefault="000957E8" w:rsidP="000957E8">
      <w:pPr>
        <w:pStyle w:val="Heading5"/>
      </w:pPr>
      <w:bookmarkStart w:id="13" w:name="_Toc518386217"/>
      <w:r>
        <w:t xml:space="preserve">7.2.1 Salary setting </w:t>
      </w:r>
      <w:r w:rsidR="00544D36">
        <w:t>principles</w:t>
      </w:r>
      <w:bookmarkEnd w:id="13"/>
    </w:p>
    <w:p w14:paraId="0C28A23F" w14:textId="7E719666" w:rsidR="000957E8" w:rsidRDefault="00544D36" w:rsidP="000957E8">
      <w:r>
        <w:t>There are different approaches to setting a salary when collaborating across organisations and when the role in development will mean that individuals are not only bringing their existing experience and knowledge but will also be developing new competences and will need some clinical supervision when doing so.</w:t>
      </w:r>
    </w:p>
    <w:p w14:paraId="6C61408D" w14:textId="6C5413DA" w:rsidR="00544D36" w:rsidRPr="000957E8" w:rsidRDefault="00544D36" w:rsidP="000957E8">
      <w:r>
        <w:t>Two approaches could be:</w:t>
      </w:r>
    </w:p>
    <w:p w14:paraId="0DE4FC1E" w14:textId="77777777" w:rsidR="00FC6797" w:rsidRPr="000957E8" w:rsidRDefault="00FC6797" w:rsidP="000957E8">
      <w:pPr>
        <w:numPr>
          <w:ilvl w:val="0"/>
          <w:numId w:val="26"/>
        </w:numPr>
      </w:pPr>
      <w:r w:rsidRPr="000957E8">
        <w:t>Spot salary divided equally by number of sessions to provide parity across all healthcare settings (e.g. £75,000 divided by 8 sessions = £9,375 per session plus on-costs)</w:t>
      </w:r>
    </w:p>
    <w:p w14:paraId="24A8CB57" w14:textId="77777777" w:rsidR="000957E8" w:rsidRPr="000957E8" w:rsidRDefault="000957E8" w:rsidP="000957E8">
      <w:r w:rsidRPr="000957E8">
        <w:t>OR</w:t>
      </w:r>
    </w:p>
    <w:p w14:paraId="7A8D842C" w14:textId="77777777" w:rsidR="00FC6797" w:rsidRPr="000957E8" w:rsidRDefault="00FC6797" w:rsidP="000957E8">
      <w:pPr>
        <w:numPr>
          <w:ilvl w:val="0"/>
          <w:numId w:val="27"/>
        </w:numPr>
      </w:pPr>
      <w:r w:rsidRPr="000957E8">
        <w:t>Assign different sessional values based on healthcare setting to provide parity among peers within each healthcare setting (e.g. use of SAS scale for acute based sessions, GP sessional rates for General Practice and OOH)</w:t>
      </w:r>
      <w:r w:rsidRPr="000957E8">
        <w:tab/>
      </w:r>
    </w:p>
    <w:p w14:paraId="732B21EB" w14:textId="46633FBD" w:rsidR="000957E8" w:rsidRDefault="00544D36" w:rsidP="000957E8">
      <w:r>
        <w:t>It is recommended the following principles guide conversations and decisions so that the salary:</w:t>
      </w:r>
    </w:p>
    <w:p w14:paraId="2F23535B" w14:textId="3AD5252F" w:rsidR="00FC6797" w:rsidRPr="00544D36" w:rsidRDefault="00544D36" w:rsidP="00544D36">
      <w:pPr>
        <w:numPr>
          <w:ilvl w:val="0"/>
          <w:numId w:val="29"/>
        </w:numPr>
      </w:pPr>
      <w:r>
        <w:t>Is c</w:t>
      </w:r>
      <w:r w:rsidR="00FC6797" w:rsidRPr="00544D36">
        <w:t>omparable to equivalent experienced peers in same healthcare setting</w:t>
      </w:r>
    </w:p>
    <w:p w14:paraId="7941A0AC" w14:textId="30CC67C5" w:rsidR="00FC6797" w:rsidRPr="00544D36" w:rsidRDefault="00FC6797" w:rsidP="00544D36">
      <w:pPr>
        <w:numPr>
          <w:ilvl w:val="0"/>
          <w:numId w:val="29"/>
        </w:numPr>
      </w:pPr>
      <w:r w:rsidRPr="00544D36">
        <w:t>Reflects the difference in skill set and the value that brings to the MDT</w:t>
      </w:r>
      <w:r w:rsidR="00544D36">
        <w:t xml:space="preserve"> in different healthcare settings</w:t>
      </w:r>
    </w:p>
    <w:p w14:paraId="65BDE5C9" w14:textId="2E643D39" w:rsidR="00FC6797" w:rsidRPr="00544D36" w:rsidRDefault="00FC6797" w:rsidP="00544D36">
      <w:pPr>
        <w:numPr>
          <w:ilvl w:val="0"/>
          <w:numId w:val="29"/>
        </w:numPr>
      </w:pPr>
      <w:r w:rsidRPr="00544D36">
        <w:t xml:space="preserve">Reflects </w:t>
      </w:r>
      <w:r w:rsidR="00544D36">
        <w:t xml:space="preserve">the </w:t>
      </w:r>
      <w:r w:rsidRPr="00544D36">
        <w:t>level of investment in personal development and education</w:t>
      </w:r>
      <w:r w:rsidR="00544D36">
        <w:t>.</w:t>
      </w:r>
    </w:p>
    <w:p w14:paraId="1039142B" w14:textId="243CF53E" w:rsidR="00544D36" w:rsidRDefault="00544D36" w:rsidP="00544D36">
      <w:pPr>
        <w:pStyle w:val="Heading5"/>
      </w:pPr>
      <w:bookmarkStart w:id="14" w:name="_Toc518386218"/>
      <w:r>
        <w:t>7.2.2 Recommended salary for portfolio role</w:t>
      </w:r>
      <w:bookmarkEnd w:id="14"/>
    </w:p>
    <w:p w14:paraId="069DEDAF" w14:textId="77777777" w:rsidR="00F43D1C" w:rsidRDefault="00077B05" w:rsidP="000957E8">
      <w:r>
        <w:t xml:space="preserve">A simple salary building model has been developed to support conversations and decision making.  </w:t>
      </w:r>
    </w:p>
    <w:p w14:paraId="525CBDD3" w14:textId="4C1D6A0E" w:rsidR="00077B05" w:rsidRDefault="00077B05" w:rsidP="000957E8">
      <w:r>
        <w:t>The model assumes that standard costs for annual leave and sickness will be covered by each organisation (Devon Doctors, GP Practice and Acute Trust).  It also assumes an equal shared cost for the protected learning session.</w:t>
      </w:r>
      <w:r w:rsidR="00F43D1C">
        <w:t xml:space="preserve">  The model uses the Specialty (SAS) Doctor pay scale and GP sessional rates.</w:t>
      </w:r>
    </w:p>
    <w:p w14:paraId="0C1F776D" w14:textId="697C0133" w:rsidR="00077B05" w:rsidRDefault="00077B05" w:rsidP="000957E8">
      <w:r>
        <w:t>The model has assigned different sessional values based on the healthcare setting to provide parity among peers.</w:t>
      </w:r>
    </w:p>
    <w:p w14:paraId="6B737195" w14:textId="6B66FACB" w:rsidR="00077B05" w:rsidRDefault="00077B05" w:rsidP="000957E8">
      <w:r>
        <w:t>The recommended salary for the portfolio role is:</w:t>
      </w:r>
    </w:p>
    <w:p w14:paraId="30B9F737" w14:textId="77777777" w:rsidR="00077B05" w:rsidRPr="00077B05" w:rsidRDefault="00077B05" w:rsidP="00077B05">
      <w:pPr>
        <w:numPr>
          <w:ilvl w:val="0"/>
          <w:numId w:val="29"/>
        </w:numPr>
      </w:pPr>
      <w:r w:rsidRPr="00077B05">
        <w:t>£68,409 for the 8 sessions job plan</w:t>
      </w:r>
    </w:p>
    <w:p w14:paraId="6E2791A6" w14:textId="734DBA09" w:rsidR="00F43D1C" w:rsidRDefault="00077B05" w:rsidP="00077B05">
      <w:pPr>
        <w:numPr>
          <w:ilvl w:val="0"/>
          <w:numId w:val="29"/>
        </w:numPr>
      </w:pPr>
      <w:r w:rsidRPr="00077B05">
        <w:t>£</w:t>
      </w:r>
      <w:proofErr w:type="spellStart"/>
      <w:r w:rsidR="00F43D1C" w:rsidRPr="00F43D1C">
        <w:rPr>
          <w:color w:val="FF0000"/>
        </w:rPr>
        <w:t>xxxxx</w:t>
      </w:r>
      <w:proofErr w:type="spellEnd"/>
      <w:r w:rsidRPr="00077B05">
        <w:t xml:space="preserve"> for the 6 sessions job plan</w:t>
      </w:r>
      <w:r>
        <w:t>.</w:t>
      </w:r>
    </w:p>
    <w:p w14:paraId="17BB9ACA" w14:textId="261D68EC" w:rsidR="00E83117" w:rsidRDefault="00E83117">
      <w:r>
        <w:lastRenderedPageBreak/>
        <w:t>The tables below show how the salary is aggregated and apportions cost across the different healthcare settings.</w:t>
      </w:r>
    </w:p>
    <w:p w14:paraId="514EEF77" w14:textId="1C79DFC7" w:rsidR="00E83117" w:rsidRDefault="00E83117">
      <w:r w:rsidRPr="00E83117">
        <w:rPr>
          <w:noProof/>
        </w:rPr>
        <w:drawing>
          <wp:inline distT="0" distB="0" distL="0" distR="0" wp14:anchorId="2B98C020" wp14:editId="2FB35750">
            <wp:extent cx="6379210" cy="97631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5205" cy="987943"/>
                    </a:xfrm>
                    <a:prstGeom prst="rect">
                      <a:avLst/>
                    </a:prstGeom>
                    <a:noFill/>
                    <a:ln>
                      <a:noFill/>
                    </a:ln>
                  </pic:spPr>
                </pic:pic>
              </a:graphicData>
            </a:graphic>
          </wp:inline>
        </w:drawing>
      </w:r>
    </w:p>
    <w:p w14:paraId="6DF19E42" w14:textId="77777777" w:rsidR="0065783F" w:rsidRDefault="0065783F">
      <w:r w:rsidRPr="006A231D">
        <w:rPr>
          <w:b/>
          <w:sz w:val="16"/>
          <w:szCs w:val="16"/>
        </w:rPr>
        <w:t xml:space="preserve">Table </w:t>
      </w:r>
      <w:r>
        <w:rPr>
          <w:b/>
          <w:sz w:val="16"/>
          <w:szCs w:val="16"/>
        </w:rPr>
        <w:t>4</w:t>
      </w:r>
      <w:r w:rsidRPr="006A231D">
        <w:rPr>
          <w:b/>
          <w:sz w:val="16"/>
          <w:szCs w:val="16"/>
        </w:rPr>
        <w:t xml:space="preserve">: </w:t>
      </w:r>
      <w:r>
        <w:rPr>
          <w:b/>
          <w:sz w:val="16"/>
          <w:szCs w:val="16"/>
        </w:rPr>
        <w:t xml:space="preserve">Salary build for 8 session portfolio </w:t>
      </w:r>
      <w:proofErr w:type="gramStart"/>
      <w:r>
        <w:rPr>
          <w:b/>
          <w:sz w:val="16"/>
          <w:szCs w:val="16"/>
        </w:rPr>
        <w:t>role</w:t>
      </w:r>
      <w:proofErr w:type="gramEnd"/>
      <w:r>
        <w:t xml:space="preserve"> </w:t>
      </w:r>
    </w:p>
    <w:p w14:paraId="4FDE7ABD" w14:textId="77777777" w:rsidR="0065783F" w:rsidRDefault="0065783F">
      <w:r w:rsidRPr="0065783F">
        <w:rPr>
          <w:color w:val="FF0000"/>
        </w:rPr>
        <w:t xml:space="preserve">INSERT TABLE FOR 6 SESSION PORTFOLIO </w:t>
      </w:r>
      <w:proofErr w:type="gramStart"/>
      <w:r w:rsidRPr="0065783F">
        <w:rPr>
          <w:color w:val="FF0000"/>
        </w:rPr>
        <w:t>ROLE</w:t>
      </w:r>
      <w:proofErr w:type="gramEnd"/>
      <w:r>
        <w:t>.</w:t>
      </w:r>
    </w:p>
    <w:p w14:paraId="381AC44E" w14:textId="77777777" w:rsidR="00901032" w:rsidRDefault="0065783F">
      <w:r>
        <w:t>The tables show the recurrent direct cost commitment for each healthcare setting per portfolio role with an assumption that each organisation will cover standard costs for all leave.</w:t>
      </w:r>
    </w:p>
    <w:p w14:paraId="1287E8AC" w14:textId="77777777" w:rsidR="008E2DEB" w:rsidRDefault="008E2DEB">
      <w:r>
        <w:t xml:space="preserve">There is an option to offer the portfolio roles on a fixed term basis which will reduce the risks associated with substantive posts, mainly financial and performance related.  </w:t>
      </w:r>
      <w:proofErr w:type="gramStart"/>
      <w:r>
        <w:t>Taking into account</w:t>
      </w:r>
      <w:proofErr w:type="gramEnd"/>
      <w:r>
        <w:t xml:space="preserve"> the responses from ST3s at the focus group and from the online survey, the length of any fixed term contract would need to provide some degree of security and the ability for GPs to make a sustained impact when in the role.  It is suggested that a minimum fixed term of 3 years is considered.</w:t>
      </w:r>
    </w:p>
    <w:p w14:paraId="54DF60CB" w14:textId="77777777" w:rsidR="008E2DEB" w:rsidRDefault="008E2DEB">
      <w:r>
        <w:t>This will reduce the financial risk to each of the organisations:</w:t>
      </w:r>
    </w:p>
    <w:tbl>
      <w:tblPr>
        <w:tblStyle w:val="TableGrid"/>
        <w:tblW w:w="0" w:type="auto"/>
        <w:tblLook w:val="04A0" w:firstRow="1" w:lastRow="0" w:firstColumn="1" w:lastColumn="0" w:noHBand="0" w:noVBand="1"/>
      </w:tblPr>
      <w:tblGrid>
        <w:gridCol w:w="4508"/>
        <w:gridCol w:w="4508"/>
      </w:tblGrid>
      <w:tr w:rsidR="008E2DEB" w14:paraId="47FDDF0C" w14:textId="77777777" w:rsidTr="008A6865">
        <w:tc>
          <w:tcPr>
            <w:tcW w:w="4508" w:type="dxa"/>
            <w:tcBorders>
              <w:right w:val="nil"/>
            </w:tcBorders>
            <w:shd w:val="clear" w:color="auto" w:fill="8EAADB" w:themeFill="accent1" w:themeFillTint="99"/>
          </w:tcPr>
          <w:p w14:paraId="37B260DA" w14:textId="5443AD5E" w:rsidR="008E2DEB" w:rsidRPr="008A6865" w:rsidRDefault="008A6865">
            <w:pPr>
              <w:rPr>
                <w:b/>
                <w:color w:val="FFFFFF" w:themeColor="background1"/>
              </w:rPr>
            </w:pPr>
            <w:r w:rsidRPr="008A6865">
              <w:rPr>
                <w:b/>
                <w:color w:val="FFFFFF" w:themeColor="background1"/>
              </w:rPr>
              <w:t xml:space="preserve">3 </w:t>
            </w:r>
            <w:r w:rsidRPr="008A6865">
              <w:rPr>
                <w:b/>
                <w:color w:val="FFFFFF" w:themeColor="background1"/>
                <w:shd w:val="clear" w:color="auto" w:fill="8EAADB" w:themeFill="accent1" w:themeFillTint="99"/>
              </w:rPr>
              <w:t>Year Fixed Term - 8 session job plan</w:t>
            </w:r>
          </w:p>
        </w:tc>
        <w:tc>
          <w:tcPr>
            <w:tcW w:w="4508" w:type="dxa"/>
            <w:tcBorders>
              <w:top w:val="nil"/>
              <w:left w:val="nil"/>
              <w:bottom w:val="single" w:sz="4" w:space="0" w:color="auto"/>
              <w:right w:val="nil"/>
            </w:tcBorders>
          </w:tcPr>
          <w:p w14:paraId="513A633C" w14:textId="77777777" w:rsidR="008E2DEB" w:rsidRDefault="008E2DEB"/>
        </w:tc>
      </w:tr>
      <w:tr w:rsidR="008E2DEB" w14:paraId="21591EA1" w14:textId="77777777" w:rsidTr="008A6865">
        <w:tc>
          <w:tcPr>
            <w:tcW w:w="4508" w:type="dxa"/>
          </w:tcPr>
          <w:p w14:paraId="1267C217" w14:textId="3BD3C655" w:rsidR="008E2DEB" w:rsidRDefault="008A6865">
            <w:r>
              <w:t>Acute Trust</w:t>
            </w:r>
          </w:p>
        </w:tc>
        <w:tc>
          <w:tcPr>
            <w:tcW w:w="4508" w:type="dxa"/>
            <w:tcBorders>
              <w:top w:val="single" w:sz="4" w:space="0" w:color="auto"/>
            </w:tcBorders>
          </w:tcPr>
          <w:p w14:paraId="318DA0A8" w14:textId="44D97C52" w:rsidR="008E2DEB" w:rsidRDefault="008A6865" w:rsidP="00E1478E">
            <w:r>
              <w:t>£73,464.12</w:t>
            </w:r>
          </w:p>
        </w:tc>
      </w:tr>
      <w:tr w:rsidR="008E2DEB" w14:paraId="4E333930" w14:textId="77777777" w:rsidTr="008E2DEB">
        <w:tc>
          <w:tcPr>
            <w:tcW w:w="4508" w:type="dxa"/>
          </w:tcPr>
          <w:p w14:paraId="71629890" w14:textId="4D91DBD7" w:rsidR="008E2DEB" w:rsidRDefault="008A6865">
            <w:r>
              <w:t>General Practice</w:t>
            </w:r>
          </w:p>
        </w:tc>
        <w:tc>
          <w:tcPr>
            <w:tcW w:w="4508" w:type="dxa"/>
          </w:tcPr>
          <w:p w14:paraId="6E83B7E8" w14:textId="5BC9CA5B" w:rsidR="008E2DEB" w:rsidRDefault="008A6865" w:rsidP="00E1478E">
            <w:r>
              <w:t>£122,445.63</w:t>
            </w:r>
          </w:p>
        </w:tc>
      </w:tr>
      <w:tr w:rsidR="008E2DEB" w14:paraId="633671E1" w14:textId="77777777" w:rsidTr="00E1478E">
        <w:tc>
          <w:tcPr>
            <w:tcW w:w="4508" w:type="dxa"/>
            <w:tcBorders>
              <w:bottom w:val="single" w:sz="4" w:space="0" w:color="auto"/>
            </w:tcBorders>
          </w:tcPr>
          <w:p w14:paraId="1E25D4A9" w14:textId="0ECA171D" w:rsidR="008E2DEB" w:rsidRDefault="008A6865">
            <w:r>
              <w:t>OOH Session</w:t>
            </w:r>
          </w:p>
        </w:tc>
        <w:tc>
          <w:tcPr>
            <w:tcW w:w="4508" w:type="dxa"/>
            <w:tcBorders>
              <w:bottom w:val="single" w:sz="4" w:space="0" w:color="auto"/>
            </w:tcBorders>
          </w:tcPr>
          <w:p w14:paraId="2C5C124A" w14:textId="27085DFD" w:rsidR="008E2DEB" w:rsidRDefault="008A6865" w:rsidP="00E1478E">
            <w:r>
              <w:t>£64,692.27</w:t>
            </w:r>
          </w:p>
        </w:tc>
      </w:tr>
      <w:tr w:rsidR="008E2DEB" w14:paraId="236C314A" w14:textId="77777777" w:rsidTr="00E1478E">
        <w:tc>
          <w:tcPr>
            <w:tcW w:w="4508" w:type="dxa"/>
            <w:tcBorders>
              <w:bottom w:val="single" w:sz="4" w:space="0" w:color="auto"/>
            </w:tcBorders>
          </w:tcPr>
          <w:p w14:paraId="3ABBAC24" w14:textId="0AEE0FFD" w:rsidR="008E2DEB" w:rsidRDefault="008A6865">
            <w:r>
              <w:t>Protected Learning</w:t>
            </w:r>
          </w:p>
        </w:tc>
        <w:tc>
          <w:tcPr>
            <w:tcW w:w="4508" w:type="dxa"/>
            <w:tcBorders>
              <w:bottom w:val="single" w:sz="4" w:space="0" w:color="auto"/>
            </w:tcBorders>
          </w:tcPr>
          <w:p w14:paraId="4CC7AE07" w14:textId="4636003B" w:rsidR="008E2DEB" w:rsidRDefault="008A6865" w:rsidP="00E1478E">
            <w:r>
              <w:t>£35,713.32</w:t>
            </w:r>
          </w:p>
        </w:tc>
      </w:tr>
      <w:tr w:rsidR="00E1478E" w14:paraId="14C86CC8" w14:textId="77777777" w:rsidTr="00E1478E">
        <w:tc>
          <w:tcPr>
            <w:tcW w:w="4508" w:type="dxa"/>
            <w:tcBorders>
              <w:top w:val="single" w:sz="4" w:space="0" w:color="auto"/>
              <w:left w:val="single" w:sz="4" w:space="0" w:color="auto"/>
              <w:bottom w:val="single" w:sz="4" w:space="0" w:color="auto"/>
              <w:right w:val="single" w:sz="4" w:space="0" w:color="auto"/>
            </w:tcBorders>
          </w:tcPr>
          <w:p w14:paraId="26153960" w14:textId="5C1BDC0E" w:rsidR="00E1478E" w:rsidRPr="00E1478E" w:rsidRDefault="00E1478E">
            <w:pPr>
              <w:rPr>
                <w:b/>
              </w:rPr>
            </w:pPr>
            <w:r w:rsidRPr="00E1478E">
              <w:rPr>
                <w:b/>
              </w:rPr>
              <w:t>Total</w:t>
            </w:r>
          </w:p>
        </w:tc>
        <w:tc>
          <w:tcPr>
            <w:tcW w:w="4508" w:type="dxa"/>
            <w:tcBorders>
              <w:left w:val="single" w:sz="4" w:space="0" w:color="auto"/>
              <w:bottom w:val="single" w:sz="4" w:space="0" w:color="auto"/>
            </w:tcBorders>
          </w:tcPr>
          <w:p w14:paraId="1746DE3C" w14:textId="7EA9DCF8" w:rsidR="00E1478E" w:rsidRPr="00E1478E" w:rsidRDefault="00E1478E">
            <w:pPr>
              <w:rPr>
                <w:b/>
              </w:rPr>
            </w:pPr>
            <w:r w:rsidRPr="00E1478E">
              <w:rPr>
                <w:b/>
              </w:rPr>
              <w:t xml:space="preserve">£296,315.34                                          </w:t>
            </w:r>
          </w:p>
        </w:tc>
      </w:tr>
      <w:tr w:rsidR="008A6865" w14:paraId="6F86D073" w14:textId="77777777" w:rsidTr="00E1478E">
        <w:tc>
          <w:tcPr>
            <w:tcW w:w="4508" w:type="dxa"/>
            <w:tcBorders>
              <w:top w:val="single" w:sz="4" w:space="0" w:color="auto"/>
              <w:left w:val="nil"/>
              <w:bottom w:val="single" w:sz="4" w:space="0" w:color="auto"/>
              <w:right w:val="nil"/>
            </w:tcBorders>
          </w:tcPr>
          <w:p w14:paraId="394A725E" w14:textId="77777777" w:rsidR="008A6865" w:rsidRDefault="008A6865" w:rsidP="008A6865"/>
        </w:tc>
        <w:tc>
          <w:tcPr>
            <w:tcW w:w="4508" w:type="dxa"/>
            <w:tcBorders>
              <w:top w:val="single" w:sz="4" w:space="0" w:color="auto"/>
              <w:left w:val="nil"/>
              <w:bottom w:val="nil"/>
              <w:right w:val="nil"/>
            </w:tcBorders>
          </w:tcPr>
          <w:p w14:paraId="7812424F" w14:textId="77777777" w:rsidR="008A6865" w:rsidRDefault="008A6865" w:rsidP="008A6865"/>
        </w:tc>
      </w:tr>
      <w:tr w:rsidR="008A6865" w14:paraId="12585FA4" w14:textId="77777777" w:rsidTr="008A6865">
        <w:tc>
          <w:tcPr>
            <w:tcW w:w="4508" w:type="dxa"/>
            <w:tcBorders>
              <w:top w:val="single" w:sz="4" w:space="0" w:color="auto"/>
              <w:right w:val="nil"/>
            </w:tcBorders>
            <w:shd w:val="clear" w:color="auto" w:fill="8EAADB" w:themeFill="accent1" w:themeFillTint="99"/>
          </w:tcPr>
          <w:p w14:paraId="364BBFBA" w14:textId="389E81D9" w:rsidR="008A6865" w:rsidRPr="008A6865" w:rsidRDefault="008A6865" w:rsidP="008A6865">
            <w:pPr>
              <w:rPr>
                <w:b/>
              </w:rPr>
            </w:pPr>
            <w:r w:rsidRPr="008A6865">
              <w:rPr>
                <w:b/>
                <w:color w:val="FFFFFF" w:themeColor="background1"/>
              </w:rPr>
              <w:t>3 Year Fixed Term - 6 session job plan</w:t>
            </w:r>
          </w:p>
        </w:tc>
        <w:tc>
          <w:tcPr>
            <w:tcW w:w="4508" w:type="dxa"/>
            <w:tcBorders>
              <w:top w:val="nil"/>
              <w:left w:val="nil"/>
              <w:bottom w:val="single" w:sz="4" w:space="0" w:color="auto"/>
              <w:right w:val="nil"/>
            </w:tcBorders>
          </w:tcPr>
          <w:p w14:paraId="1307190A" w14:textId="77777777" w:rsidR="008A6865" w:rsidRDefault="008A6865" w:rsidP="008A6865"/>
        </w:tc>
      </w:tr>
      <w:tr w:rsidR="008A6865" w14:paraId="74EAE3D0" w14:textId="77777777" w:rsidTr="008A6865">
        <w:tc>
          <w:tcPr>
            <w:tcW w:w="4508" w:type="dxa"/>
          </w:tcPr>
          <w:p w14:paraId="6359C33C" w14:textId="5670B35A" w:rsidR="008A6865" w:rsidRDefault="008A6865" w:rsidP="008A6865">
            <w:r>
              <w:t>Acute Trust</w:t>
            </w:r>
          </w:p>
        </w:tc>
        <w:tc>
          <w:tcPr>
            <w:tcW w:w="4508" w:type="dxa"/>
            <w:tcBorders>
              <w:top w:val="single" w:sz="4" w:space="0" w:color="auto"/>
            </w:tcBorders>
          </w:tcPr>
          <w:p w14:paraId="05A3B888" w14:textId="77777777" w:rsidR="008A6865" w:rsidRDefault="008A6865" w:rsidP="008A6865"/>
        </w:tc>
      </w:tr>
      <w:tr w:rsidR="008A6865" w14:paraId="6F0B636C" w14:textId="77777777" w:rsidTr="008E2DEB">
        <w:tc>
          <w:tcPr>
            <w:tcW w:w="4508" w:type="dxa"/>
          </w:tcPr>
          <w:p w14:paraId="72329B6B" w14:textId="3C9D6421" w:rsidR="008A6865" w:rsidRDefault="008A6865" w:rsidP="008A6865">
            <w:r>
              <w:t>General Practice</w:t>
            </w:r>
          </w:p>
        </w:tc>
        <w:tc>
          <w:tcPr>
            <w:tcW w:w="4508" w:type="dxa"/>
          </w:tcPr>
          <w:p w14:paraId="1A8157A0" w14:textId="77777777" w:rsidR="008A6865" w:rsidRDefault="008A6865" w:rsidP="008A6865"/>
        </w:tc>
      </w:tr>
      <w:tr w:rsidR="008A6865" w14:paraId="78E4AA26" w14:textId="77777777" w:rsidTr="008E2DEB">
        <w:tc>
          <w:tcPr>
            <w:tcW w:w="4508" w:type="dxa"/>
          </w:tcPr>
          <w:p w14:paraId="48433015" w14:textId="7D17170F" w:rsidR="008A6865" w:rsidRDefault="008A6865" w:rsidP="008A6865">
            <w:r>
              <w:t>OOH Session</w:t>
            </w:r>
          </w:p>
        </w:tc>
        <w:tc>
          <w:tcPr>
            <w:tcW w:w="4508" w:type="dxa"/>
          </w:tcPr>
          <w:p w14:paraId="54987C48" w14:textId="77777777" w:rsidR="008A6865" w:rsidRDefault="008A6865" w:rsidP="008A6865"/>
        </w:tc>
      </w:tr>
      <w:tr w:rsidR="008A6865" w14:paraId="5E1073D7" w14:textId="77777777" w:rsidTr="008E2DEB">
        <w:tc>
          <w:tcPr>
            <w:tcW w:w="4508" w:type="dxa"/>
          </w:tcPr>
          <w:p w14:paraId="77606565" w14:textId="79DC88D1" w:rsidR="008A6865" w:rsidRDefault="008A6865" w:rsidP="008A6865">
            <w:r>
              <w:t>Protected Learning</w:t>
            </w:r>
          </w:p>
        </w:tc>
        <w:tc>
          <w:tcPr>
            <w:tcW w:w="4508" w:type="dxa"/>
          </w:tcPr>
          <w:p w14:paraId="481EBB9E" w14:textId="77777777" w:rsidR="008A6865" w:rsidRDefault="008A6865" w:rsidP="008A6865"/>
        </w:tc>
      </w:tr>
    </w:tbl>
    <w:p w14:paraId="07E6D380" w14:textId="29F0E54A" w:rsidR="00F43D1C" w:rsidRDefault="0065783F">
      <w:r>
        <w:t xml:space="preserve"> </w:t>
      </w:r>
      <w:r w:rsidR="00F43D1C">
        <w:br w:type="page"/>
      </w:r>
    </w:p>
    <w:p w14:paraId="11E402D7" w14:textId="6279F202" w:rsidR="00077B05" w:rsidRDefault="00F43D1C" w:rsidP="00F43D1C">
      <w:pPr>
        <w:pStyle w:val="Heading2"/>
        <w:numPr>
          <w:ilvl w:val="0"/>
          <w:numId w:val="5"/>
        </w:numPr>
      </w:pPr>
      <w:bookmarkStart w:id="15" w:name="_Toc518386219"/>
      <w:r>
        <w:lastRenderedPageBreak/>
        <w:t>Funding options for salaried portfolio role</w:t>
      </w:r>
      <w:bookmarkEnd w:id="15"/>
    </w:p>
    <w:p w14:paraId="7B462D7C" w14:textId="20910594" w:rsidR="00F43D1C" w:rsidRPr="00F43D1C" w:rsidRDefault="00F43D1C" w:rsidP="00F43D1C"/>
    <w:p w14:paraId="16AF43CA" w14:textId="128B7B0D" w:rsidR="00077B05" w:rsidRDefault="009C6EAE" w:rsidP="000957E8">
      <w:r>
        <w:t>The direct cost of employing a portfolio GP will be borne by each of the organisations</w:t>
      </w:r>
      <w:r w:rsidR="0065783F">
        <w:t xml:space="preserve"> in line with the clinical time spent in that organisation.  </w:t>
      </w:r>
      <w:r w:rsidR="00901032">
        <w:t xml:space="preserve">Whilst the working assumption is that each organisation will be responsible for developing an internal business case to secure </w:t>
      </w:r>
      <w:r w:rsidR="00354086">
        <w:t xml:space="preserve">organisational </w:t>
      </w:r>
      <w:r w:rsidR="00901032">
        <w:t>funding for the roles, there are central funding sources available that could support these roles.</w:t>
      </w:r>
    </w:p>
    <w:p w14:paraId="2ED6ED1D" w14:textId="1E6D12E1" w:rsidR="00FC6797" w:rsidRDefault="00FC6797" w:rsidP="00FC6797">
      <w:pPr>
        <w:pStyle w:val="Heading5"/>
      </w:pPr>
      <w:bookmarkStart w:id="16" w:name="_Toc518386220"/>
      <w:r>
        <w:t>8.1 Local General Practitioners Retention Fund</w:t>
      </w:r>
      <w:bookmarkEnd w:id="16"/>
    </w:p>
    <w:p w14:paraId="5979FFB4" w14:textId="3058E544" w:rsidR="00FC6797" w:rsidRDefault="00E1478E" w:rsidP="00FC6797">
      <w:r>
        <w:t>N</w:t>
      </w:r>
      <w:r w:rsidR="003D175A">
        <w:t>ew funding was announced in May 2018 to support the delivery of 5,000 extra doctors working in general practice by 2020</w:t>
      </w:r>
      <w:r w:rsidR="00354086">
        <w:t xml:space="preserve">, </w:t>
      </w:r>
      <w:r w:rsidR="00354086" w:rsidRPr="00FC6797">
        <w:t xml:space="preserve">with a key focus on </w:t>
      </w:r>
      <w:r w:rsidR="00354086" w:rsidRPr="00354086">
        <w:rPr>
          <w:u w:val="single"/>
        </w:rPr>
        <w:t>supporting general practitioners (GPs) who are at risk of leaving general practice, or who have already left</w:t>
      </w:r>
      <w:r w:rsidR="00354086" w:rsidRPr="00FC6797">
        <w:t>.</w:t>
      </w:r>
    </w:p>
    <w:p w14:paraId="7E5E8BA7" w14:textId="33390B08" w:rsidR="008266C1" w:rsidRDefault="00E1478E" w:rsidP="00FC6797">
      <w:r>
        <w:t>The funding principles include supporting GPs who are newly qualified</w:t>
      </w:r>
      <w:r w:rsidR="008266C1">
        <w:t xml:space="preserve"> or within the first five years post-CCT by offering a </w:t>
      </w:r>
      <w:r w:rsidR="008266C1" w:rsidRPr="008266C1">
        <w:t>flexible career alternative</w:t>
      </w:r>
      <w:r w:rsidR="008266C1">
        <w:t xml:space="preserve"> to </w:t>
      </w:r>
      <w:r w:rsidR="008266C1" w:rsidRPr="008266C1">
        <w:t>provide them with greater exposure to different models of practice to inform their long-term career decisions</w:t>
      </w:r>
      <w:r w:rsidR="008266C1">
        <w:t xml:space="preserve"> – such as portfolio working.</w:t>
      </w:r>
    </w:p>
    <w:p w14:paraId="47CFC36B" w14:textId="5A44B3CB" w:rsidR="00501EB8" w:rsidRDefault="008266C1" w:rsidP="00FC6797">
      <w:r>
        <w:t>The funding will also support</w:t>
      </w:r>
      <w:r w:rsidR="00501EB8">
        <w:t xml:space="preserve"> initiatives aimed at </w:t>
      </w:r>
      <w:r w:rsidRPr="008266C1">
        <w:t>GPs who are seriously considering leaving general practice or are considering changing their role or working hours</w:t>
      </w:r>
      <w:r w:rsidR="00501EB8">
        <w:t xml:space="preserve"> – such as increased flexibility, portfolio working, peer support, </w:t>
      </w:r>
      <w:r w:rsidR="00501EB8" w:rsidRPr="00501EB8">
        <w:t>indemnity</w:t>
      </w:r>
      <w:r w:rsidR="00501EB8">
        <w:t xml:space="preserve"> contributions and </w:t>
      </w:r>
      <w:r w:rsidR="00501EB8" w:rsidRPr="00501EB8">
        <w:t xml:space="preserve">educational </w:t>
      </w:r>
      <w:r w:rsidR="00501EB8">
        <w:t>support.</w:t>
      </w:r>
    </w:p>
    <w:p w14:paraId="2A808E87" w14:textId="77777777" w:rsidR="00501EB8" w:rsidRDefault="00501EB8" w:rsidP="00FC6797">
      <w:r>
        <w:t>The fund is managed locally by NHS England Regional and Local Teams.</w:t>
      </w:r>
    </w:p>
    <w:p w14:paraId="4045B5CE" w14:textId="77777777" w:rsidR="00501EB8" w:rsidRDefault="00501EB8" w:rsidP="00501EB8">
      <w:pPr>
        <w:pStyle w:val="Heading5"/>
      </w:pPr>
      <w:bookmarkStart w:id="17" w:name="_Toc518386221"/>
      <w:r>
        <w:t>8.2 NHS GP Health Service – Group Peer Support for GPs</w:t>
      </w:r>
      <w:bookmarkEnd w:id="17"/>
    </w:p>
    <w:p w14:paraId="5F09D16E" w14:textId="77777777" w:rsidR="00F72355" w:rsidRDefault="00501EB8" w:rsidP="00F72355">
      <w:r>
        <w:t xml:space="preserve">Seed funding is available to establish </w:t>
      </w:r>
      <w:r w:rsidR="008D7456">
        <w:t>peer to peer support groups for GPs.  The funding will cover 10x 90 minute sessions of facilitator time over a period of five years.</w:t>
      </w:r>
      <w:r>
        <w:t xml:space="preserve"> </w:t>
      </w:r>
    </w:p>
    <w:p w14:paraId="0753A79C" w14:textId="3ECD5B30" w:rsidR="00F72355" w:rsidRDefault="00F72355" w:rsidP="00F72355">
      <w:pPr>
        <w:pStyle w:val="Heading5"/>
      </w:pPr>
      <w:bookmarkStart w:id="18" w:name="_Toc518386222"/>
      <w:r>
        <w:t>8.3 Health Education England</w:t>
      </w:r>
      <w:r w:rsidR="00333BFA">
        <w:t xml:space="preserve"> (HEE)</w:t>
      </w:r>
      <w:bookmarkEnd w:id="18"/>
    </w:p>
    <w:p w14:paraId="4B7B2A4B" w14:textId="284D9635" w:rsidR="000C3B1E" w:rsidRDefault="00F72355" w:rsidP="00333BFA">
      <w:r>
        <w:t>Research into the existing fellowship programmes has shown that Health Education England has funded the educational elements of these portfolio roles on a fixed term basis</w:t>
      </w:r>
      <w:r w:rsidR="00333BFA">
        <w:t xml:space="preserve">.  It is unclear whether such funding options still exist but engagement with the local HEE team is recommended to explore potential funding opportunities. </w:t>
      </w:r>
    </w:p>
    <w:p w14:paraId="4388407A" w14:textId="77777777" w:rsidR="000C3B1E" w:rsidRDefault="000C3B1E">
      <w:r>
        <w:br w:type="page"/>
      </w:r>
    </w:p>
    <w:p w14:paraId="58C8BED3" w14:textId="5EF97B7E" w:rsidR="000C3B1E" w:rsidRDefault="000C3B1E" w:rsidP="000C3B1E">
      <w:pPr>
        <w:pStyle w:val="Heading2"/>
        <w:numPr>
          <w:ilvl w:val="0"/>
          <w:numId w:val="5"/>
        </w:numPr>
      </w:pPr>
      <w:bookmarkStart w:id="19" w:name="_Toc518386223"/>
      <w:r>
        <w:lastRenderedPageBreak/>
        <w:t>Recommendations</w:t>
      </w:r>
      <w:bookmarkEnd w:id="19"/>
    </w:p>
    <w:p w14:paraId="635C5FBE" w14:textId="3725752F" w:rsidR="000C3B1E" w:rsidRDefault="000C3B1E" w:rsidP="000C3B1E"/>
    <w:p w14:paraId="2A6F89EB" w14:textId="77777777" w:rsidR="000C3B1E" w:rsidRDefault="000C3B1E" w:rsidP="000C3B1E">
      <w:pPr>
        <w:rPr>
          <w:rFonts w:cstheme="minorHAnsi"/>
        </w:rPr>
      </w:pPr>
      <w:r>
        <w:rPr>
          <w:rFonts w:cstheme="minorHAnsi"/>
        </w:rPr>
        <w:t>This high-level feasibility paper shows that:</w:t>
      </w:r>
    </w:p>
    <w:p w14:paraId="20FB1A35" w14:textId="227A57F6" w:rsidR="005B7143" w:rsidRPr="005B7143" w:rsidRDefault="005B7143" w:rsidP="005B7143">
      <w:pPr>
        <w:numPr>
          <w:ilvl w:val="0"/>
          <w:numId w:val="29"/>
        </w:numPr>
      </w:pPr>
      <w:r w:rsidRPr="005B7143">
        <w:t>The future career intentions of GPs will negatively impact GP workforce capacity</w:t>
      </w:r>
    </w:p>
    <w:p w14:paraId="171998E4" w14:textId="26D6FED6" w:rsidR="005B7143" w:rsidRPr="005B7143" w:rsidRDefault="000C3B1E" w:rsidP="005B7143">
      <w:pPr>
        <w:numPr>
          <w:ilvl w:val="0"/>
          <w:numId w:val="29"/>
        </w:numPr>
      </w:pPr>
      <w:r w:rsidRPr="005B7143">
        <w:t>GPs are actively seeking alternative</w:t>
      </w:r>
      <w:r w:rsidR="005B7143" w:rsidRPr="005B7143">
        <w:t>s to the traditional partnership or salaried model</w:t>
      </w:r>
    </w:p>
    <w:p w14:paraId="76188C9B" w14:textId="4A8D380E" w:rsidR="005B7143" w:rsidRPr="005B7143" w:rsidRDefault="005B7143" w:rsidP="005B7143">
      <w:pPr>
        <w:numPr>
          <w:ilvl w:val="0"/>
          <w:numId w:val="29"/>
        </w:numPr>
      </w:pPr>
      <w:r w:rsidRPr="005B7143">
        <w:t>A portfolio career is an attractive proposition that provides flexibility, variety of work opportunity and work-life balance</w:t>
      </w:r>
    </w:p>
    <w:p w14:paraId="545CDF9C" w14:textId="77777777" w:rsidR="005B7143" w:rsidRPr="005B7143" w:rsidRDefault="005B7143" w:rsidP="005B7143">
      <w:pPr>
        <w:numPr>
          <w:ilvl w:val="0"/>
          <w:numId w:val="29"/>
        </w:numPr>
      </w:pPr>
      <w:r w:rsidRPr="005B7143">
        <w:t>The development of portfolio fellowships over a fixed term has been shown, through evaluation by Warwick Medical School, to be a successful model</w:t>
      </w:r>
    </w:p>
    <w:p w14:paraId="550DDA02" w14:textId="17752114" w:rsidR="005B7143" w:rsidRPr="005B7143" w:rsidRDefault="005B7143" w:rsidP="005B7143">
      <w:pPr>
        <w:numPr>
          <w:ilvl w:val="0"/>
          <w:numId w:val="29"/>
        </w:numPr>
      </w:pPr>
      <w:r w:rsidRPr="005B7143">
        <w:t xml:space="preserve">A financial analysis shows marginal gains </w:t>
      </w:r>
      <w:r w:rsidR="00993531">
        <w:t xml:space="preserve">when shifting from </w:t>
      </w:r>
      <w:r w:rsidRPr="005B7143">
        <w:t xml:space="preserve">sessional </w:t>
      </w:r>
      <w:r w:rsidR="00993531">
        <w:t xml:space="preserve">to </w:t>
      </w:r>
      <w:r w:rsidRPr="005B7143">
        <w:t>salaried GPs</w:t>
      </w:r>
    </w:p>
    <w:p w14:paraId="36BBFB03" w14:textId="77777777" w:rsidR="005B7143" w:rsidRPr="005B7143" w:rsidRDefault="005B7143" w:rsidP="005B7143">
      <w:pPr>
        <w:numPr>
          <w:ilvl w:val="0"/>
          <w:numId w:val="29"/>
        </w:numPr>
      </w:pPr>
      <w:r w:rsidRPr="005B7143">
        <w:t>A simple data analysis shows that portfolio options in paediatrics and frailty will match the demand seen through the IUCS and is of interest to trainees (via the online survey).</w:t>
      </w:r>
    </w:p>
    <w:p w14:paraId="581C0353" w14:textId="396D542D" w:rsidR="005B7143" w:rsidRDefault="005B7143" w:rsidP="000C3B1E">
      <w:pPr>
        <w:rPr>
          <w:rFonts w:cstheme="minorHAnsi"/>
        </w:rPr>
      </w:pPr>
      <w:r>
        <w:rPr>
          <w:rFonts w:cstheme="minorHAnsi"/>
        </w:rPr>
        <w:t xml:space="preserve"> Recommendations are to:</w:t>
      </w:r>
    </w:p>
    <w:p w14:paraId="324319CA" w14:textId="20AEE87E" w:rsidR="005B7143" w:rsidRPr="00C067BB" w:rsidRDefault="005B7143" w:rsidP="00C067BB">
      <w:pPr>
        <w:numPr>
          <w:ilvl w:val="0"/>
          <w:numId w:val="32"/>
        </w:numPr>
      </w:pPr>
      <w:r w:rsidRPr="00C067BB">
        <w:t>Develop a portfolio role</w:t>
      </w:r>
      <w:r w:rsidR="00C067BB" w:rsidRPr="00C067BB">
        <w:t xml:space="preserve"> (in collaboration with local Acute Trusts and General Practice)</w:t>
      </w:r>
      <w:r w:rsidRPr="00C067BB">
        <w:t xml:space="preserve"> that will provide opportunity across three different healthcare settings with protected learning time</w:t>
      </w:r>
      <w:r w:rsidR="00C067BB">
        <w:t xml:space="preserve"> and</w:t>
      </w:r>
      <w:r w:rsidRPr="00C067BB">
        <w:t xml:space="preserve"> peer support</w:t>
      </w:r>
    </w:p>
    <w:p w14:paraId="64482438" w14:textId="39F0EF0D" w:rsidR="005B7143" w:rsidRPr="00C067BB" w:rsidRDefault="005B7143" w:rsidP="00C067BB">
      <w:pPr>
        <w:numPr>
          <w:ilvl w:val="0"/>
          <w:numId w:val="32"/>
        </w:numPr>
      </w:pPr>
      <w:r w:rsidRPr="00C067BB">
        <w:t xml:space="preserve">Explore the available </w:t>
      </w:r>
      <w:r w:rsidR="00C067BB" w:rsidRPr="00C067BB">
        <w:t xml:space="preserve">central </w:t>
      </w:r>
      <w:r w:rsidRPr="00C067BB">
        <w:t xml:space="preserve">funding options </w:t>
      </w:r>
      <w:r w:rsidR="00C067BB">
        <w:t>to support both substantive and fixed term (minimum 3 years) contracts</w:t>
      </w:r>
    </w:p>
    <w:p w14:paraId="048AB5AD" w14:textId="673CC42B" w:rsidR="00C067BB" w:rsidRPr="00C067BB" w:rsidRDefault="00C067BB" w:rsidP="00C067BB">
      <w:pPr>
        <w:numPr>
          <w:ilvl w:val="0"/>
          <w:numId w:val="32"/>
        </w:numPr>
      </w:pPr>
      <w:r w:rsidRPr="00C067BB">
        <w:t>Engage with Health Education England to explore the possibility of offering the ST3 online survey to a much larger cohort to get a more robust data set specifically about attitudes toward portfolio work</w:t>
      </w:r>
      <w:r>
        <w:t>ing</w:t>
      </w:r>
      <w:r w:rsidR="00993531">
        <w:t xml:space="preserve"> with a view to using the data to inform central funding conversations to support the development of portfolio roles.</w:t>
      </w:r>
    </w:p>
    <w:p w14:paraId="1E275701" w14:textId="7808CC18" w:rsidR="00C067BB" w:rsidRDefault="00C067BB" w:rsidP="000C3B1E">
      <w:pPr>
        <w:rPr>
          <w:rFonts w:cstheme="minorHAnsi"/>
        </w:rPr>
      </w:pPr>
      <w:r>
        <w:rPr>
          <w:rFonts w:cstheme="minorHAnsi"/>
        </w:rPr>
        <w:t xml:space="preserve"> </w:t>
      </w:r>
    </w:p>
    <w:p w14:paraId="3FC081B2" w14:textId="21DE329B" w:rsidR="005B7143" w:rsidRDefault="005B7143" w:rsidP="000C3B1E">
      <w:pPr>
        <w:rPr>
          <w:rFonts w:cstheme="minorHAnsi"/>
        </w:rPr>
      </w:pPr>
      <w:r>
        <w:rPr>
          <w:rFonts w:cstheme="minorHAnsi"/>
        </w:rPr>
        <w:t xml:space="preserve"> </w:t>
      </w:r>
    </w:p>
    <w:p w14:paraId="39E93310" w14:textId="649983B8" w:rsidR="000C3B1E" w:rsidRPr="00C113E4" w:rsidRDefault="000C3B1E" w:rsidP="005B7143">
      <w:pPr>
        <w:rPr>
          <w:rFonts w:cstheme="minorHAnsi"/>
        </w:rPr>
      </w:pPr>
      <w:r>
        <w:rPr>
          <w:rFonts w:cstheme="minorHAnsi"/>
        </w:rPr>
        <w:t xml:space="preserve"> </w:t>
      </w:r>
    </w:p>
    <w:p w14:paraId="41AD7ED8" w14:textId="77777777" w:rsidR="000C3B1E" w:rsidRPr="000C3B1E" w:rsidRDefault="000C3B1E" w:rsidP="000C3B1E"/>
    <w:p w14:paraId="18B24C10" w14:textId="20613000" w:rsidR="00501EB8" w:rsidRDefault="00F72355" w:rsidP="00333BFA">
      <w:r>
        <w:t xml:space="preserve">  </w:t>
      </w:r>
      <w:r w:rsidR="00501EB8">
        <w:t xml:space="preserve"> </w:t>
      </w:r>
    </w:p>
    <w:p w14:paraId="376D5B58" w14:textId="475E8FE1" w:rsidR="00121F7B" w:rsidRDefault="00121F7B" w:rsidP="00544D25"/>
    <w:p w14:paraId="0B0EC3E1" w14:textId="77777777" w:rsidR="00121F7B" w:rsidRDefault="00121F7B" w:rsidP="00544D25"/>
    <w:p w14:paraId="128641A5" w14:textId="43911C53" w:rsidR="00CC4E61" w:rsidRDefault="00CC4E61" w:rsidP="00CC4E61"/>
    <w:p w14:paraId="30F87DA3" w14:textId="47F895C1" w:rsidR="000105F8" w:rsidRPr="00CC4E61" w:rsidRDefault="00CC4E61" w:rsidP="00CC4E61">
      <w:pPr>
        <w:tabs>
          <w:tab w:val="left" w:pos="3860"/>
        </w:tabs>
      </w:pPr>
      <w:r>
        <w:tab/>
      </w:r>
    </w:p>
    <w:sectPr w:rsidR="000105F8" w:rsidRPr="00CC4E6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7BFD5" w14:textId="77777777" w:rsidR="000C1CD2" w:rsidRDefault="000C1CD2" w:rsidP="008A2829">
      <w:pPr>
        <w:spacing w:after="0" w:line="240" w:lineRule="auto"/>
      </w:pPr>
      <w:r>
        <w:separator/>
      </w:r>
    </w:p>
  </w:endnote>
  <w:endnote w:type="continuationSeparator" w:id="0">
    <w:p w14:paraId="237C9CBE" w14:textId="77777777" w:rsidR="000C1CD2" w:rsidRDefault="000C1CD2" w:rsidP="008A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332680"/>
      <w:docPartObj>
        <w:docPartGallery w:val="Page Numbers (Bottom of Page)"/>
        <w:docPartUnique/>
      </w:docPartObj>
    </w:sdtPr>
    <w:sdtEndPr/>
    <w:sdtContent>
      <w:sdt>
        <w:sdtPr>
          <w:id w:val="1728636285"/>
          <w:docPartObj>
            <w:docPartGallery w:val="Page Numbers (Top of Page)"/>
            <w:docPartUnique/>
          </w:docPartObj>
        </w:sdtPr>
        <w:sdtEndPr/>
        <w:sdtContent>
          <w:p w14:paraId="1D879794" w14:textId="1AB8DE6D" w:rsidR="00FC6797" w:rsidRDefault="00FC679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087A9B" w14:textId="77777777" w:rsidR="00FC6797" w:rsidRDefault="00FC6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277EF" w14:textId="77777777" w:rsidR="000C1CD2" w:rsidRDefault="000C1CD2" w:rsidP="008A2829">
      <w:pPr>
        <w:spacing w:after="0" w:line="240" w:lineRule="auto"/>
      </w:pPr>
      <w:r>
        <w:separator/>
      </w:r>
    </w:p>
  </w:footnote>
  <w:footnote w:type="continuationSeparator" w:id="0">
    <w:p w14:paraId="4AFA9763" w14:textId="77777777" w:rsidR="000C1CD2" w:rsidRDefault="000C1CD2" w:rsidP="008A2829">
      <w:pPr>
        <w:spacing w:after="0" w:line="240" w:lineRule="auto"/>
      </w:pPr>
      <w:r>
        <w:continuationSeparator/>
      </w:r>
    </w:p>
  </w:footnote>
  <w:footnote w:id="1">
    <w:p w14:paraId="3C56FDF0" w14:textId="4A72D216" w:rsidR="00FC6797" w:rsidRDefault="00FC6797">
      <w:pPr>
        <w:pStyle w:val="FootnoteText"/>
      </w:pPr>
      <w:r>
        <w:rPr>
          <w:rStyle w:val="FootnoteReference"/>
        </w:rPr>
        <w:footnoteRef/>
      </w:r>
      <w:r>
        <w:t xml:space="preserve"> Project 4 Brief – Development of Extended Portfolio GP Role in Urgent and Acute Care (rotational post)</w:t>
      </w:r>
    </w:p>
  </w:footnote>
  <w:footnote w:id="2">
    <w:p w14:paraId="06A13674" w14:textId="496F10BF" w:rsidR="00FC6797" w:rsidRDefault="00FC6797">
      <w:pPr>
        <w:pStyle w:val="FootnoteText"/>
      </w:pPr>
      <w:r>
        <w:rPr>
          <w:rStyle w:val="FootnoteReference"/>
        </w:rPr>
        <w:footnoteRef/>
      </w:r>
      <w:r>
        <w:t xml:space="preserve"> M09 Market Needs Analysis</w:t>
      </w:r>
    </w:p>
  </w:footnote>
  <w:footnote w:id="3">
    <w:p w14:paraId="2A56ABF2" w14:textId="57065D97" w:rsidR="00FC6797" w:rsidRDefault="00FC6797">
      <w:pPr>
        <w:pStyle w:val="FootnoteText"/>
      </w:pPr>
      <w:r>
        <w:rPr>
          <w:rStyle w:val="FootnoteReference"/>
        </w:rPr>
        <w:footnoteRef/>
      </w:r>
      <w:r>
        <w:t xml:space="preserve"> M10 Soft Test Role Locally – VTS Focus Group and Online Survey</w:t>
      </w:r>
    </w:p>
  </w:footnote>
  <w:footnote w:id="4">
    <w:p w14:paraId="0073EBBF" w14:textId="59DF2B6C" w:rsidR="00FC6797" w:rsidRDefault="00FC6797">
      <w:pPr>
        <w:pStyle w:val="FootnoteText"/>
      </w:pPr>
      <w:r>
        <w:rPr>
          <w:rStyle w:val="FootnoteReference"/>
        </w:rPr>
        <w:footnoteRef/>
      </w:r>
      <w:r>
        <w:t xml:space="preserve"> M08 – Summary of national, regional and local evidence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B0F"/>
    <w:multiLevelType w:val="hybridMultilevel"/>
    <w:tmpl w:val="7A904F76"/>
    <w:lvl w:ilvl="0" w:tplc="08090001">
      <w:start w:val="1"/>
      <w:numFmt w:val="bullet"/>
      <w:lvlText w:val=""/>
      <w:lvlJc w:val="left"/>
      <w:pPr>
        <w:tabs>
          <w:tab w:val="num" w:pos="720"/>
        </w:tabs>
        <w:ind w:left="720" w:hanging="360"/>
      </w:pPr>
      <w:rPr>
        <w:rFonts w:ascii="Symbol" w:hAnsi="Symbol" w:hint="default"/>
      </w:rPr>
    </w:lvl>
    <w:lvl w:ilvl="1" w:tplc="F90E3BDE" w:tentative="1">
      <w:start w:val="1"/>
      <w:numFmt w:val="decimal"/>
      <w:lvlText w:val="%2."/>
      <w:lvlJc w:val="left"/>
      <w:pPr>
        <w:tabs>
          <w:tab w:val="num" w:pos="1440"/>
        </w:tabs>
        <w:ind w:left="1440" w:hanging="360"/>
      </w:pPr>
    </w:lvl>
    <w:lvl w:ilvl="2" w:tplc="182A59B0" w:tentative="1">
      <w:start w:val="1"/>
      <w:numFmt w:val="decimal"/>
      <w:lvlText w:val="%3."/>
      <w:lvlJc w:val="left"/>
      <w:pPr>
        <w:tabs>
          <w:tab w:val="num" w:pos="2160"/>
        </w:tabs>
        <w:ind w:left="2160" w:hanging="360"/>
      </w:pPr>
    </w:lvl>
    <w:lvl w:ilvl="3" w:tplc="4ABC645A" w:tentative="1">
      <w:start w:val="1"/>
      <w:numFmt w:val="decimal"/>
      <w:lvlText w:val="%4."/>
      <w:lvlJc w:val="left"/>
      <w:pPr>
        <w:tabs>
          <w:tab w:val="num" w:pos="2880"/>
        </w:tabs>
        <w:ind w:left="2880" w:hanging="360"/>
      </w:pPr>
    </w:lvl>
    <w:lvl w:ilvl="4" w:tplc="2796FC86" w:tentative="1">
      <w:start w:val="1"/>
      <w:numFmt w:val="decimal"/>
      <w:lvlText w:val="%5."/>
      <w:lvlJc w:val="left"/>
      <w:pPr>
        <w:tabs>
          <w:tab w:val="num" w:pos="3600"/>
        </w:tabs>
        <w:ind w:left="3600" w:hanging="360"/>
      </w:pPr>
    </w:lvl>
    <w:lvl w:ilvl="5" w:tplc="6636A3E8" w:tentative="1">
      <w:start w:val="1"/>
      <w:numFmt w:val="decimal"/>
      <w:lvlText w:val="%6."/>
      <w:lvlJc w:val="left"/>
      <w:pPr>
        <w:tabs>
          <w:tab w:val="num" w:pos="4320"/>
        </w:tabs>
        <w:ind w:left="4320" w:hanging="360"/>
      </w:pPr>
    </w:lvl>
    <w:lvl w:ilvl="6" w:tplc="8CC4A020" w:tentative="1">
      <w:start w:val="1"/>
      <w:numFmt w:val="decimal"/>
      <w:lvlText w:val="%7."/>
      <w:lvlJc w:val="left"/>
      <w:pPr>
        <w:tabs>
          <w:tab w:val="num" w:pos="5040"/>
        </w:tabs>
        <w:ind w:left="5040" w:hanging="360"/>
      </w:pPr>
    </w:lvl>
    <w:lvl w:ilvl="7" w:tplc="924AB254" w:tentative="1">
      <w:start w:val="1"/>
      <w:numFmt w:val="decimal"/>
      <w:lvlText w:val="%8."/>
      <w:lvlJc w:val="left"/>
      <w:pPr>
        <w:tabs>
          <w:tab w:val="num" w:pos="5760"/>
        </w:tabs>
        <w:ind w:left="5760" w:hanging="360"/>
      </w:pPr>
    </w:lvl>
    <w:lvl w:ilvl="8" w:tplc="C696FCB0" w:tentative="1">
      <w:start w:val="1"/>
      <w:numFmt w:val="decimal"/>
      <w:lvlText w:val="%9."/>
      <w:lvlJc w:val="left"/>
      <w:pPr>
        <w:tabs>
          <w:tab w:val="num" w:pos="6480"/>
        </w:tabs>
        <w:ind w:left="6480" w:hanging="360"/>
      </w:pPr>
    </w:lvl>
  </w:abstractNum>
  <w:abstractNum w:abstractNumId="1" w15:restartNumberingAfterBreak="0">
    <w:nsid w:val="04167D29"/>
    <w:multiLevelType w:val="hybridMultilevel"/>
    <w:tmpl w:val="A282DE44"/>
    <w:lvl w:ilvl="0" w:tplc="7C2C0F1E">
      <w:start w:val="1"/>
      <w:numFmt w:val="bullet"/>
      <w:lvlText w:val="•"/>
      <w:lvlJc w:val="left"/>
      <w:pPr>
        <w:tabs>
          <w:tab w:val="num" w:pos="720"/>
        </w:tabs>
        <w:ind w:left="720" w:hanging="360"/>
      </w:pPr>
      <w:rPr>
        <w:rFonts w:ascii="Arial" w:hAnsi="Arial" w:hint="default"/>
      </w:rPr>
    </w:lvl>
    <w:lvl w:ilvl="1" w:tplc="60201EA4" w:tentative="1">
      <w:start w:val="1"/>
      <w:numFmt w:val="bullet"/>
      <w:lvlText w:val="•"/>
      <w:lvlJc w:val="left"/>
      <w:pPr>
        <w:tabs>
          <w:tab w:val="num" w:pos="1440"/>
        </w:tabs>
        <w:ind w:left="1440" w:hanging="360"/>
      </w:pPr>
      <w:rPr>
        <w:rFonts w:ascii="Arial" w:hAnsi="Arial" w:hint="default"/>
      </w:rPr>
    </w:lvl>
    <w:lvl w:ilvl="2" w:tplc="EE5C04C6" w:tentative="1">
      <w:start w:val="1"/>
      <w:numFmt w:val="bullet"/>
      <w:lvlText w:val="•"/>
      <w:lvlJc w:val="left"/>
      <w:pPr>
        <w:tabs>
          <w:tab w:val="num" w:pos="2160"/>
        </w:tabs>
        <w:ind w:left="2160" w:hanging="360"/>
      </w:pPr>
      <w:rPr>
        <w:rFonts w:ascii="Arial" w:hAnsi="Arial" w:hint="default"/>
      </w:rPr>
    </w:lvl>
    <w:lvl w:ilvl="3" w:tplc="847029F4" w:tentative="1">
      <w:start w:val="1"/>
      <w:numFmt w:val="bullet"/>
      <w:lvlText w:val="•"/>
      <w:lvlJc w:val="left"/>
      <w:pPr>
        <w:tabs>
          <w:tab w:val="num" w:pos="2880"/>
        </w:tabs>
        <w:ind w:left="2880" w:hanging="360"/>
      </w:pPr>
      <w:rPr>
        <w:rFonts w:ascii="Arial" w:hAnsi="Arial" w:hint="default"/>
      </w:rPr>
    </w:lvl>
    <w:lvl w:ilvl="4" w:tplc="CF00F1C6" w:tentative="1">
      <w:start w:val="1"/>
      <w:numFmt w:val="bullet"/>
      <w:lvlText w:val="•"/>
      <w:lvlJc w:val="left"/>
      <w:pPr>
        <w:tabs>
          <w:tab w:val="num" w:pos="3600"/>
        </w:tabs>
        <w:ind w:left="3600" w:hanging="360"/>
      </w:pPr>
      <w:rPr>
        <w:rFonts w:ascii="Arial" w:hAnsi="Arial" w:hint="default"/>
      </w:rPr>
    </w:lvl>
    <w:lvl w:ilvl="5" w:tplc="BB7886D2" w:tentative="1">
      <w:start w:val="1"/>
      <w:numFmt w:val="bullet"/>
      <w:lvlText w:val="•"/>
      <w:lvlJc w:val="left"/>
      <w:pPr>
        <w:tabs>
          <w:tab w:val="num" w:pos="4320"/>
        </w:tabs>
        <w:ind w:left="4320" w:hanging="360"/>
      </w:pPr>
      <w:rPr>
        <w:rFonts w:ascii="Arial" w:hAnsi="Arial" w:hint="default"/>
      </w:rPr>
    </w:lvl>
    <w:lvl w:ilvl="6" w:tplc="99FAB644" w:tentative="1">
      <w:start w:val="1"/>
      <w:numFmt w:val="bullet"/>
      <w:lvlText w:val="•"/>
      <w:lvlJc w:val="left"/>
      <w:pPr>
        <w:tabs>
          <w:tab w:val="num" w:pos="5040"/>
        </w:tabs>
        <w:ind w:left="5040" w:hanging="360"/>
      </w:pPr>
      <w:rPr>
        <w:rFonts w:ascii="Arial" w:hAnsi="Arial" w:hint="default"/>
      </w:rPr>
    </w:lvl>
    <w:lvl w:ilvl="7" w:tplc="D9262B9E" w:tentative="1">
      <w:start w:val="1"/>
      <w:numFmt w:val="bullet"/>
      <w:lvlText w:val="•"/>
      <w:lvlJc w:val="left"/>
      <w:pPr>
        <w:tabs>
          <w:tab w:val="num" w:pos="5760"/>
        </w:tabs>
        <w:ind w:left="5760" w:hanging="360"/>
      </w:pPr>
      <w:rPr>
        <w:rFonts w:ascii="Arial" w:hAnsi="Arial" w:hint="default"/>
      </w:rPr>
    </w:lvl>
    <w:lvl w:ilvl="8" w:tplc="DADCD6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333E8C"/>
    <w:multiLevelType w:val="hybridMultilevel"/>
    <w:tmpl w:val="8F5C68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56A2"/>
    <w:multiLevelType w:val="hybridMultilevel"/>
    <w:tmpl w:val="9AE0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872ED"/>
    <w:multiLevelType w:val="hybridMultilevel"/>
    <w:tmpl w:val="5914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534D9"/>
    <w:multiLevelType w:val="hybridMultilevel"/>
    <w:tmpl w:val="4E6C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403B8"/>
    <w:multiLevelType w:val="hybridMultilevel"/>
    <w:tmpl w:val="D1E8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A7F9E"/>
    <w:multiLevelType w:val="hybridMultilevel"/>
    <w:tmpl w:val="66B2435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356D82"/>
    <w:multiLevelType w:val="hybridMultilevel"/>
    <w:tmpl w:val="CACA2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37660B"/>
    <w:multiLevelType w:val="hybridMultilevel"/>
    <w:tmpl w:val="F010416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0" w15:restartNumberingAfterBreak="0">
    <w:nsid w:val="266F21A6"/>
    <w:multiLevelType w:val="hybridMultilevel"/>
    <w:tmpl w:val="14567536"/>
    <w:lvl w:ilvl="0" w:tplc="0B1EC45E">
      <w:start w:val="1"/>
      <w:numFmt w:val="decimal"/>
      <w:lvlText w:val="%1."/>
      <w:lvlJc w:val="left"/>
      <w:pPr>
        <w:tabs>
          <w:tab w:val="num" w:pos="720"/>
        </w:tabs>
        <w:ind w:left="720" w:hanging="360"/>
      </w:pPr>
    </w:lvl>
    <w:lvl w:ilvl="1" w:tplc="F90E3BDE" w:tentative="1">
      <w:start w:val="1"/>
      <w:numFmt w:val="decimal"/>
      <w:lvlText w:val="%2."/>
      <w:lvlJc w:val="left"/>
      <w:pPr>
        <w:tabs>
          <w:tab w:val="num" w:pos="1440"/>
        </w:tabs>
        <w:ind w:left="1440" w:hanging="360"/>
      </w:pPr>
    </w:lvl>
    <w:lvl w:ilvl="2" w:tplc="182A59B0" w:tentative="1">
      <w:start w:val="1"/>
      <w:numFmt w:val="decimal"/>
      <w:lvlText w:val="%3."/>
      <w:lvlJc w:val="left"/>
      <w:pPr>
        <w:tabs>
          <w:tab w:val="num" w:pos="2160"/>
        </w:tabs>
        <w:ind w:left="2160" w:hanging="360"/>
      </w:pPr>
    </w:lvl>
    <w:lvl w:ilvl="3" w:tplc="4ABC645A" w:tentative="1">
      <w:start w:val="1"/>
      <w:numFmt w:val="decimal"/>
      <w:lvlText w:val="%4."/>
      <w:lvlJc w:val="left"/>
      <w:pPr>
        <w:tabs>
          <w:tab w:val="num" w:pos="2880"/>
        </w:tabs>
        <w:ind w:left="2880" w:hanging="360"/>
      </w:pPr>
    </w:lvl>
    <w:lvl w:ilvl="4" w:tplc="2796FC86" w:tentative="1">
      <w:start w:val="1"/>
      <w:numFmt w:val="decimal"/>
      <w:lvlText w:val="%5."/>
      <w:lvlJc w:val="left"/>
      <w:pPr>
        <w:tabs>
          <w:tab w:val="num" w:pos="3600"/>
        </w:tabs>
        <w:ind w:left="3600" w:hanging="360"/>
      </w:pPr>
    </w:lvl>
    <w:lvl w:ilvl="5" w:tplc="6636A3E8" w:tentative="1">
      <w:start w:val="1"/>
      <w:numFmt w:val="decimal"/>
      <w:lvlText w:val="%6."/>
      <w:lvlJc w:val="left"/>
      <w:pPr>
        <w:tabs>
          <w:tab w:val="num" w:pos="4320"/>
        </w:tabs>
        <w:ind w:left="4320" w:hanging="360"/>
      </w:pPr>
    </w:lvl>
    <w:lvl w:ilvl="6" w:tplc="8CC4A020" w:tentative="1">
      <w:start w:val="1"/>
      <w:numFmt w:val="decimal"/>
      <w:lvlText w:val="%7."/>
      <w:lvlJc w:val="left"/>
      <w:pPr>
        <w:tabs>
          <w:tab w:val="num" w:pos="5040"/>
        </w:tabs>
        <w:ind w:left="5040" w:hanging="360"/>
      </w:pPr>
    </w:lvl>
    <w:lvl w:ilvl="7" w:tplc="924AB254" w:tentative="1">
      <w:start w:val="1"/>
      <w:numFmt w:val="decimal"/>
      <w:lvlText w:val="%8."/>
      <w:lvlJc w:val="left"/>
      <w:pPr>
        <w:tabs>
          <w:tab w:val="num" w:pos="5760"/>
        </w:tabs>
        <w:ind w:left="5760" w:hanging="360"/>
      </w:pPr>
    </w:lvl>
    <w:lvl w:ilvl="8" w:tplc="C696FCB0" w:tentative="1">
      <w:start w:val="1"/>
      <w:numFmt w:val="decimal"/>
      <w:lvlText w:val="%9."/>
      <w:lvlJc w:val="left"/>
      <w:pPr>
        <w:tabs>
          <w:tab w:val="num" w:pos="6480"/>
        </w:tabs>
        <w:ind w:left="6480" w:hanging="360"/>
      </w:pPr>
    </w:lvl>
  </w:abstractNum>
  <w:abstractNum w:abstractNumId="11" w15:restartNumberingAfterBreak="0">
    <w:nsid w:val="33FE50FA"/>
    <w:multiLevelType w:val="hybridMultilevel"/>
    <w:tmpl w:val="847E6D60"/>
    <w:lvl w:ilvl="0" w:tplc="7E54F07C">
      <w:start w:val="1"/>
      <w:numFmt w:val="bullet"/>
      <w:lvlText w:val="•"/>
      <w:lvlJc w:val="left"/>
      <w:pPr>
        <w:tabs>
          <w:tab w:val="num" w:pos="720"/>
        </w:tabs>
        <w:ind w:left="720" w:hanging="360"/>
      </w:pPr>
      <w:rPr>
        <w:rFonts w:ascii="Arial" w:hAnsi="Arial" w:hint="default"/>
      </w:rPr>
    </w:lvl>
    <w:lvl w:ilvl="1" w:tplc="7F660632" w:tentative="1">
      <w:start w:val="1"/>
      <w:numFmt w:val="bullet"/>
      <w:lvlText w:val="•"/>
      <w:lvlJc w:val="left"/>
      <w:pPr>
        <w:tabs>
          <w:tab w:val="num" w:pos="1440"/>
        </w:tabs>
        <w:ind w:left="1440" w:hanging="360"/>
      </w:pPr>
      <w:rPr>
        <w:rFonts w:ascii="Arial" w:hAnsi="Arial" w:hint="default"/>
      </w:rPr>
    </w:lvl>
    <w:lvl w:ilvl="2" w:tplc="22A6AD5A" w:tentative="1">
      <w:start w:val="1"/>
      <w:numFmt w:val="bullet"/>
      <w:lvlText w:val="•"/>
      <w:lvlJc w:val="left"/>
      <w:pPr>
        <w:tabs>
          <w:tab w:val="num" w:pos="2160"/>
        </w:tabs>
        <w:ind w:left="2160" w:hanging="360"/>
      </w:pPr>
      <w:rPr>
        <w:rFonts w:ascii="Arial" w:hAnsi="Arial" w:hint="default"/>
      </w:rPr>
    </w:lvl>
    <w:lvl w:ilvl="3" w:tplc="D3DC3BFC" w:tentative="1">
      <w:start w:val="1"/>
      <w:numFmt w:val="bullet"/>
      <w:lvlText w:val="•"/>
      <w:lvlJc w:val="left"/>
      <w:pPr>
        <w:tabs>
          <w:tab w:val="num" w:pos="2880"/>
        </w:tabs>
        <w:ind w:left="2880" w:hanging="360"/>
      </w:pPr>
      <w:rPr>
        <w:rFonts w:ascii="Arial" w:hAnsi="Arial" w:hint="default"/>
      </w:rPr>
    </w:lvl>
    <w:lvl w:ilvl="4" w:tplc="9F90E294" w:tentative="1">
      <w:start w:val="1"/>
      <w:numFmt w:val="bullet"/>
      <w:lvlText w:val="•"/>
      <w:lvlJc w:val="left"/>
      <w:pPr>
        <w:tabs>
          <w:tab w:val="num" w:pos="3600"/>
        </w:tabs>
        <w:ind w:left="3600" w:hanging="360"/>
      </w:pPr>
      <w:rPr>
        <w:rFonts w:ascii="Arial" w:hAnsi="Arial" w:hint="default"/>
      </w:rPr>
    </w:lvl>
    <w:lvl w:ilvl="5" w:tplc="EB409BC2" w:tentative="1">
      <w:start w:val="1"/>
      <w:numFmt w:val="bullet"/>
      <w:lvlText w:val="•"/>
      <w:lvlJc w:val="left"/>
      <w:pPr>
        <w:tabs>
          <w:tab w:val="num" w:pos="4320"/>
        </w:tabs>
        <w:ind w:left="4320" w:hanging="360"/>
      </w:pPr>
      <w:rPr>
        <w:rFonts w:ascii="Arial" w:hAnsi="Arial" w:hint="default"/>
      </w:rPr>
    </w:lvl>
    <w:lvl w:ilvl="6" w:tplc="E0302A3C" w:tentative="1">
      <w:start w:val="1"/>
      <w:numFmt w:val="bullet"/>
      <w:lvlText w:val="•"/>
      <w:lvlJc w:val="left"/>
      <w:pPr>
        <w:tabs>
          <w:tab w:val="num" w:pos="5040"/>
        </w:tabs>
        <w:ind w:left="5040" w:hanging="360"/>
      </w:pPr>
      <w:rPr>
        <w:rFonts w:ascii="Arial" w:hAnsi="Arial" w:hint="default"/>
      </w:rPr>
    </w:lvl>
    <w:lvl w:ilvl="7" w:tplc="9BA6D010" w:tentative="1">
      <w:start w:val="1"/>
      <w:numFmt w:val="bullet"/>
      <w:lvlText w:val="•"/>
      <w:lvlJc w:val="left"/>
      <w:pPr>
        <w:tabs>
          <w:tab w:val="num" w:pos="5760"/>
        </w:tabs>
        <w:ind w:left="5760" w:hanging="360"/>
      </w:pPr>
      <w:rPr>
        <w:rFonts w:ascii="Arial" w:hAnsi="Arial" w:hint="default"/>
      </w:rPr>
    </w:lvl>
    <w:lvl w:ilvl="8" w:tplc="884AF7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7A416D"/>
    <w:multiLevelType w:val="hybridMultilevel"/>
    <w:tmpl w:val="81CE460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3D1D453C"/>
    <w:multiLevelType w:val="hybridMultilevel"/>
    <w:tmpl w:val="A7AA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A1ED2"/>
    <w:multiLevelType w:val="hybridMultilevel"/>
    <w:tmpl w:val="FC44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47EF6"/>
    <w:multiLevelType w:val="hybridMultilevel"/>
    <w:tmpl w:val="F05E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E21CF"/>
    <w:multiLevelType w:val="multilevel"/>
    <w:tmpl w:val="AFFC048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58304C5"/>
    <w:multiLevelType w:val="hybridMultilevel"/>
    <w:tmpl w:val="67C0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B6481"/>
    <w:multiLevelType w:val="hybridMultilevel"/>
    <w:tmpl w:val="FB12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41163"/>
    <w:multiLevelType w:val="hybridMultilevel"/>
    <w:tmpl w:val="0074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76223A"/>
    <w:multiLevelType w:val="multilevel"/>
    <w:tmpl w:val="10B2C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90C6D98"/>
    <w:multiLevelType w:val="hybridMultilevel"/>
    <w:tmpl w:val="7774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0F4FA9"/>
    <w:multiLevelType w:val="hybridMultilevel"/>
    <w:tmpl w:val="771E41F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3" w15:restartNumberingAfterBreak="0">
    <w:nsid w:val="5C8F2F9A"/>
    <w:multiLevelType w:val="hybridMultilevel"/>
    <w:tmpl w:val="E4CC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E37F7"/>
    <w:multiLevelType w:val="hybridMultilevel"/>
    <w:tmpl w:val="8D5688BA"/>
    <w:lvl w:ilvl="0" w:tplc="5AFA9A72">
      <w:start w:val="7803"/>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8910DE"/>
    <w:multiLevelType w:val="hybridMultilevel"/>
    <w:tmpl w:val="0F7689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90237A"/>
    <w:multiLevelType w:val="hybridMultilevel"/>
    <w:tmpl w:val="6C4A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9657E"/>
    <w:multiLevelType w:val="hybridMultilevel"/>
    <w:tmpl w:val="A704C23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8" w15:restartNumberingAfterBreak="0">
    <w:nsid w:val="705E0C02"/>
    <w:multiLevelType w:val="hybridMultilevel"/>
    <w:tmpl w:val="B450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12C71"/>
    <w:multiLevelType w:val="hybridMultilevel"/>
    <w:tmpl w:val="56C05C5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7DDD6C84"/>
    <w:multiLevelType w:val="hybridMultilevel"/>
    <w:tmpl w:val="AFD04D0A"/>
    <w:lvl w:ilvl="0" w:tplc="0809000F">
      <w:start w:val="1"/>
      <w:numFmt w:val="decimal"/>
      <w:lvlText w:val="%1."/>
      <w:lvlJc w:val="left"/>
      <w:pPr>
        <w:tabs>
          <w:tab w:val="num" w:pos="720"/>
        </w:tabs>
        <w:ind w:left="720" w:hanging="360"/>
      </w:pPr>
      <w:rPr>
        <w:rFonts w:hint="default"/>
      </w:rPr>
    </w:lvl>
    <w:lvl w:ilvl="1" w:tplc="F90E3BDE" w:tentative="1">
      <w:start w:val="1"/>
      <w:numFmt w:val="decimal"/>
      <w:lvlText w:val="%2."/>
      <w:lvlJc w:val="left"/>
      <w:pPr>
        <w:tabs>
          <w:tab w:val="num" w:pos="1440"/>
        </w:tabs>
        <w:ind w:left="1440" w:hanging="360"/>
      </w:pPr>
    </w:lvl>
    <w:lvl w:ilvl="2" w:tplc="182A59B0" w:tentative="1">
      <w:start w:val="1"/>
      <w:numFmt w:val="decimal"/>
      <w:lvlText w:val="%3."/>
      <w:lvlJc w:val="left"/>
      <w:pPr>
        <w:tabs>
          <w:tab w:val="num" w:pos="2160"/>
        </w:tabs>
        <w:ind w:left="2160" w:hanging="360"/>
      </w:pPr>
    </w:lvl>
    <w:lvl w:ilvl="3" w:tplc="4ABC645A" w:tentative="1">
      <w:start w:val="1"/>
      <w:numFmt w:val="decimal"/>
      <w:lvlText w:val="%4."/>
      <w:lvlJc w:val="left"/>
      <w:pPr>
        <w:tabs>
          <w:tab w:val="num" w:pos="2880"/>
        </w:tabs>
        <w:ind w:left="2880" w:hanging="360"/>
      </w:pPr>
    </w:lvl>
    <w:lvl w:ilvl="4" w:tplc="2796FC86" w:tentative="1">
      <w:start w:val="1"/>
      <w:numFmt w:val="decimal"/>
      <w:lvlText w:val="%5."/>
      <w:lvlJc w:val="left"/>
      <w:pPr>
        <w:tabs>
          <w:tab w:val="num" w:pos="3600"/>
        </w:tabs>
        <w:ind w:left="3600" w:hanging="360"/>
      </w:pPr>
    </w:lvl>
    <w:lvl w:ilvl="5" w:tplc="6636A3E8" w:tentative="1">
      <w:start w:val="1"/>
      <w:numFmt w:val="decimal"/>
      <w:lvlText w:val="%6."/>
      <w:lvlJc w:val="left"/>
      <w:pPr>
        <w:tabs>
          <w:tab w:val="num" w:pos="4320"/>
        </w:tabs>
        <w:ind w:left="4320" w:hanging="360"/>
      </w:pPr>
    </w:lvl>
    <w:lvl w:ilvl="6" w:tplc="8CC4A020" w:tentative="1">
      <w:start w:val="1"/>
      <w:numFmt w:val="decimal"/>
      <w:lvlText w:val="%7."/>
      <w:lvlJc w:val="left"/>
      <w:pPr>
        <w:tabs>
          <w:tab w:val="num" w:pos="5040"/>
        </w:tabs>
        <w:ind w:left="5040" w:hanging="360"/>
      </w:pPr>
    </w:lvl>
    <w:lvl w:ilvl="7" w:tplc="924AB254" w:tentative="1">
      <w:start w:val="1"/>
      <w:numFmt w:val="decimal"/>
      <w:lvlText w:val="%8."/>
      <w:lvlJc w:val="left"/>
      <w:pPr>
        <w:tabs>
          <w:tab w:val="num" w:pos="5760"/>
        </w:tabs>
        <w:ind w:left="5760" w:hanging="360"/>
      </w:pPr>
    </w:lvl>
    <w:lvl w:ilvl="8" w:tplc="C696FCB0" w:tentative="1">
      <w:start w:val="1"/>
      <w:numFmt w:val="decimal"/>
      <w:lvlText w:val="%9."/>
      <w:lvlJc w:val="left"/>
      <w:pPr>
        <w:tabs>
          <w:tab w:val="num" w:pos="6480"/>
        </w:tabs>
        <w:ind w:left="6480" w:hanging="360"/>
      </w:pPr>
    </w:lvl>
  </w:abstractNum>
  <w:abstractNum w:abstractNumId="31" w15:restartNumberingAfterBreak="0">
    <w:nsid w:val="7E41606E"/>
    <w:multiLevelType w:val="hybridMultilevel"/>
    <w:tmpl w:val="6522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3"/>
  </w:num>
  <w:num w:numId="4">
    <w:abstractNumId w:val="4"/>
  </w:num>
  <w:num w:numId="5">
    <w:abstractNumId w:val="16"/>
  </w:num>
  <w:num w:numId="6">
    <w:abstractNumId w:val="17"/>
  </w:num>
  <w:num w:numId="7">
    <w:abstractNumId w:val="14"/>
  </w:num>
  <w:num w:numId="8">
    <w:abstractNumId w:val="19"/>
  </w:num>
  <w:num w:numId="9">
    <w:abstractNumId w:val="31"/>
  </w:num>
  <w:num w:numId="10">
    <w:abstractNumId w:val="7"/>
  </w:num>
  <w:num w:numId="11">
    <w:abstractNumId w:val="3"/>
  </w:num>
  <w:num w:numId="12">
    <w:abstractNumId w:val="26"/>
  </w:num>
  <w:num w:numId="13">
    <w:abstractNumId w:val="23"/>
  </w:num>
  <w:num w:numId="14">
    <w:abstractNumId w:val="6"/>
  </w:num>
  <w:num w:numId="15">
    <w:abstractNumId w:val="12"/>
  </w:num>
  <w:num w:numId="16">
    <w:abstractNumId w:val="29"/>
  </w:num>
  <w:num w:numId="17">
    <w:abstractNumId w:val="9"/>
  </w:num>
  <w:num w:numId="18">
    <w:abstractNumId w:val="25"/>
  </w:num>
  <w:num w:numId="19">
    <w:abstractNumId w:val="22"/>
  </w:num>
  <w:num w:numId="20">
    <w:abstractNumId w:val="21"/>
  </w:num>
  <w:num w:numId="21">
    <w:abstractNumId w:val="27"/>
  </w:num>
  <w:num w:numId="22">
    <w:abstractNumId w:val="15"/>
  </w:num>
  <w:num w:numId="23">
    <w:abstractNumId w:val="24"/>
  </w:num>
  <w:num w:numId="24">
    <w:abstractNumId w:val="8"/>
  </w:num>
  <w:num w:numId="25">
    <w:abstractNumId w:val="2"/>
  </w:num>
  <w:num w:numId="26">
    <w:abstractNumId w:val="11"/>
  </w:num>
  <w:num w:numId="27">
    <w:abstractNumId w:val="1"/>
  </w:num>
  <w:num w:numId="28">
    <w:abstractNumId w:val="10"/>
  </w:num>
  <w:num w:numId="29">
    <w:abstractNumId w:val="0"/>
  </w:num>
  <w:num w:numId="30">
    <w:abstractNumId w:val="28"/>
  </w:num>
  <w:num w:numId="31">
    <w:abstractNumId w:val="2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55"/>
    <w:rsid w:val="0000430F"/>
    <w:rsid w:val="000105F8"/>
    <w:rsid w:val="00020030"/>
    <w:rsid w:val="000216D9"/>
    <w:rsid w:val="000251A2"/>
    <w:rsid w:val="000453AF"/>
    <w:rsid w:val="00047E91"/>
    <w:rsid w:val="000508C4"/>
    <w:rsid w:val="00055430"/>
    <w:rsid w:val="00077B05"/>
    <w:rsid w:val="0008451A"/>
    <w:rsid w:val="00086FBC"/>
    <w:rsid w:val="000957E8"/>
    <w:rsid w:val="000A49DF"/>
    <w:rsid w:val="000B5C31"/>
    <w:rsid w:val="000C1CD2"/>
    <w:rsid w:val="000C3B1E"/>
    <w:rsid w:val="000C7385"/>
    <w:rsid w:val="000E6A6A"/>
    <w:rsid w:val="000F5B35"/>
    <w:rsid w:val="00107E6B"/>
    <w:rsid w:val="00121F7B"/>
    <w:rsid w:val="00124667"/>
    <w:rsid w:val="001261D4"/>
    <w:rsid w:val="001417C4"/>
    <w:rsid w:val="00153285"/>
    <w:rsid w:val="001545ED"/>
    <w:rsid w:val="00157D1E"/>
    <w:rsid w:val="001712E8"/>
    <w:rsid w:val="0018393E"/>
    <w:rsid w:val="001A586C"/>
    <w:rsid w:val="001B140D"/>
    <w:rsid w:val="001B1BB1"/>
    <w:rsid w:val="001C4D66"/>
    <w:rsid w:val="001D0032"/>
    <w:rsid w:val="001D6C18"/>
    <w:rsid w:val="001E2C26"/>
    <w:rsid w:val="001F040E"/>
    <w:rsid w:val="001F2168"/>
    <w:rsid w:val="0021060E"/>
    <w:rsid w:val="00213D6F"/>
    <w:rsid w:val="00222D26"/>
    <w:rsid w:val="00227358"/>
    <w:rsid w:val="00233283"/>
    <w:rsid w:val="00236A19"/>
    <w:rsid w:val="0024022A"/>
    <w:rsid w:val="00256E9C"/>
    <w:rsid w:val="00262977"/>
    <w:rsid w:val="0026354D"/>
    <w:rsid w:val="00266388"/>
    <w:rsid w:val="00270DBE"/>
    <w:rsid w:val="002915A0"/>
    <w:rsid w:val="00292F4E"/>
    <w:rsid w:val="002A58A3"/>
    <w:rsid w:val="002B5795"/>
    <w:rsid w:val="002C3241"/>
    <w:rsid w:val="002C685C"/>
    <w:rsid w:val="002D341F"/>
    <w:rsid w:val="002E5FC8"/>
    <w:rsid w:val="002F634E"/>
    <w:rsid w:val="00327FF2"/>
    <w:rsid w:val="00330E14"/>
    <w:rsid w:val="00333BFA"/>
    <w:rsid w:val="00343121"/>
    <w:rsid w:val="00354086"/>
    <w:rsid w:val="00356EA7"/>
    <w:rsid w:val="00360CAA"/>
    <w:rsid w:val="0036513D"/>
    <w:rsid w:val="003870CC"/>
    <w:rsid w:val="003A2E29"/>
    <w:rsid w:val="003B28C2"/>
    <w:rsid w:val="003B304B"/>
    <w:rsid w:val="003B3053"/>
    <w:rsid w:val="003B31B1"/>
    <w:rsid w:val="003B41F4"/>
    <w:rsid w:val="003C5204"/>
    <w:rsid w:val="003D175A"/>
    <w:rsid w:val="0040629B"/>
    <w:rsid w:val="00416AF6"/>
    <w:rsid w:val="00423B08"/>
    <w:rsid w:val="00434C57"/>
    <w:rsid w:val="00460DD7"/>
    <w:rsid w:val="004744CA"/>
    <w:rsid w:val="00481017"/>
    <w:rsid w:val="004828DA"/>
    <w:rsid w:val="004830CC"/>
    <w:rsid w:val="0049414D"/>
    <w:rsid w:val="00497E0B"/>
    <w:rsid w:val="004A1956"/>
    <w:rsid w:val="004A219F"/>
    <w:rsid w:val="004C115B"/>
    <w:rsid w:val="004C4264"/>
    <w:rsid w:val="004D4CD2"/>
    <w:rsid w:val="004D65A3"/>
    <w:rsid w:val="004E7FEB"/>
    <w:rsid w:val="004F64B6"/>
    <w:rsid w:val="004F6C67"/>
    <w:rsid w:val="00500E74"/>
    <w:rsid w:val="00501C3E"/>
    <w:rsid w:val="00501EB8"/>
    <w:rsid w:val="00515D69"/>
    <w:rsid w:val="00516D74"/>
    <w:rsid w:val="00524EE6"/>
    <w:rsid w:val="00534CBA"/>
    <w:rsid w:val="00544D25"/>
    <w:rsid w:val="00544D36"/>
    <w:rsid w:val="00546255"/>
    <w:rsid w:val="0056001B"/>
    <w:rsid w:val="005619B2"/>
    <w:rsid w:val="005711B3"/>
    <w:rsid w:val="0057135E"/>
    <w:rsid w:val="00572801"/>
    <w:rsid w:val="00572B2F"/>
    <w:rsid w:val="005747FC"/>
    <w:rsid w:val="005776FD"/>
    <w:rsid w:val="00582D7F"/>
    <w:rsid w:val="00584903"/>
    <w:rsid w:val="00584C53"/>
    <w:rsid w:val="005A7B0B"/>
    <w:rsid w:val="005B7143"/>
    <w:rsid w:val="005C6AF4"/>
    <w:rsid w:val="005D153A"/>
    <w:rsid w:val="005D6E27"/>
    <w:rsid w:val="005F4736"/>
    <w:rsid w:val="00601984"/>
    <w:rsid w:val="006020C3"/>
    <w:rsid w:val="00606879"/>
    <w:rsid w:val="0061563F"/>
    <w:rsid w:val="00617CE2"/>
    <w:rsid w:val="00631612"/>
    <w:rsid w:val="0064004A"/>
    <w:rsid w:val="00644976"/>
    <w:rsid w:val="00650BFC"/>
    <w:rsid w:val="006520F7"/>
    <w:rsid w:val="0065783F"/>
    <w:rsid w:val="00670E57"/>
    <w:rsid w:val="00671CE4"/>
    <w:rsid w:val="00671F73"/>
    <w:rsid w:val="006725BB"/>
    <w:rsid w:val="00687BF6"/>
    <w:rsid w:val="006A231D"/>
    <w:rsid w:val="006E1905"/>
    <w:rsid w:val="0070607A"/>
    <w:rsid w:val="00722FAD"/>
    <w:rsid w:val="007236AB"/>
    <w:rsid w:val="00726A38"/>
    <w:rsid w:val="0074048A"/>
    <w:rsid w:val="0074076A"/>
    <w:rsid w:val="00751043"/>
    <w:rsid w:val="00797011"/>
    <w:rsid w:val="007A013D"/>
    <w:rsid w:val="007A393F"/>
    <w:rsid w:val="007B0A5C"/>
    <w:rsid w:val="0080299C"/>
    <w:rsid w:val="00805C59"/>
    <w:rsid w:val="00814405"/>
    <w:rsid w:val="008266C1"/>
    <w:rsid w:val="00827A1C"/>
    <w:rsid w:val="00843F75"/>
    <w:rsid w:val="00855F2D"/>
    <w:rsid w:val="00861109"/>
    <w:rsid w:val="00872CB9"/>
    <w:rsid w:val="008740B7"/>
    <w:rsid w:val="008909A9"/>
    <w:rsid w:val="0089255F"/>
    <w:rsid w:val="00893829"/>
    <w:rsid w:val="008A1EFC"/>
    <w:rsid w:val="008A2829"/>
    <w:rsid w:val="008A6865"/>
    <w:rsid w:val="008B4F6C"/>
    <w:rsid w:val="008D2680"/>
    <w:rsid w:val="008D4678"/>
    <w:rsid w:val="008D7456"/>
    <w:rsid w:val="008E2DEB"/>
    <w:rsid w:val="00901032"/>
    <w:rsid w:val="00913C16"/>
    <w:rsid w:val="00920189"/>
    <w:rsid w:val="00920979"/>
    <w:rsid w:val="00930783"/>
    <w:rsid w:val="009508AA"/>
    <w:rsid w:val="00954AB1"/>
    <w:rsid w:val="009736F9"/>
    <w:rsid w:val="00980C3A"/>
    <w:rsid w:val="00993531"/>
    <w:rsid w:val="009A29A6"/>
    <w:rsid w:val="009B1D12"/>
    <w:rsid w:val="009C0C27"/>
    <w:rsid w:val="009C59C5"/>
    <w:rsid w:val="009C6EAE"/>
    <w:rsid w:val="009D5A50"/>
    <w:rsid w:val="009F1DFF"/>
    <w:rsid w:val="009F71F2"/>
    <w:rsid w:val="00A04FDC"/>
    <w:rsid w:val="00A0540C"/>
    <w:rsid w:val="00A06911"/>
    <w:rsid w:val="00A21FDD"/>
    <w:rsid w:val="00A31CF0"/>
    <w:rsid w:val="00A33E05"/>
    <w:rsid w:val="00A451DB"/>
    <w:rsid w:val="00A52377"/>
    <w:rsid w:val="00A66323"/>
    <w:rsid w:val="00A82AF6"/>
    <w:rsid w:val="00A83CA4"/>
    <w:rsid w:val="00AA5F86"/>
    <w:rsid w:val="00AB6498"/>
    <w:rsid w:val="00AC1892"/>
    <w:rsid w:val="00AD6BF9"/>
    <w:rsid w:val="00AE68A5"/>
    <w:rsid w:val="00AF1B29"/>
    <w:rsid w:val="00B0373D"/>
    <w:rsid w:val="00B03E53"/>
    <w:rsid w:val="00B172D0"/>
    <w:rsid w:val="00B17B4D"/>
    <w:rsid w:val="00B231F5"/>
    <w:rsid w:val="00B303A4"/>
    <w:rsid w:val="00B43D03"/>
    <w:rsid w:val="00B704D2"/>
    <w:rsid w:val="00B82D53"/>
    <w:rsid w:val="00B97E45"/>
    <w:rsid w:val="00BA1F6A"/>
    <w:rsid w:val="00BB6F39"/>
    <w:rsid w:val="00BE4679"/>
    <w:rsid w:val="00BE4771"/>
    <w:rsid w:val="00BE4FEB"/>
    <w:rsid w:val="00BF1E1A"/>
    <w:rsid w:val="00BF6FA5"/>
    <w:rsid w:val="00C06114"/>
    <w:rsid w:val="00C067BB"/>
    <w:rsid w:val="00C113E4"/>
    <w:rsid w:val="00C255E5"/>
    <w:rsid w:val="00C41395"/>
    <w:rsid w:val="00C5440A"/>
    <w:rsid w:val="00C630B4"/>
    <w:rsid w:val="00C64087"/>
    <w:rsid w:val="00C66B56"/>
    <w:rsid w:val="00CC4E61"/>
    <w:rsid w:val="00CF1267"/>
    <w:rsid w:val="00CF2E5D"/>
    <w:rsid w:val="00D12BC0"/>
    <w:rsid w:val="00D20820"/>
    <w:rsid w:val="00D32A1B"/>
    <w:rsid w:val="00D415DB"/>
    <w:rsid w:val="00D55D94"/>
    <w:rsid w:val="00D71116"/>
    <w:rsid w:val="00D92C64"/>
    <w:rsid w:val="00D96B41"/>
    <w:rsid w:val="00DA6B13"/>
    <w:rsid w:val="00DB1008"/>
    <w:rsid w:val="00DD4904"/>
    <w:rsid w:val="00DD780D"/>
    <w:rsid w:val="00E03B42"/>
    <w:rsid w:val="00E112CE"/>
    <w:rsid w:val="00E11CFD"/>
    <w:rsid w:val="00E133AF"/>
    <w:rsid w:val="00E1478E"/>
    <w:rsid w:val="00E26041"/>
    <w:rsid w:val="00E449AB"/>
    <w:rsid w:val="00E452F1"/>
    <w:rsid w:val="00E45676"/>
    <w:rsid w:val="00E45E2B"/>
    <w:rsid w:val="00E463DF"/>
    <w:rsid w:val="00E66004"/>
    <w:rsid w:val="00E82F75"/>
    <w:rsid w:val="00E83117"/>
    <w:rsid w:val="00E84D73"/>
    <w:rsid w:val="00EA35DA"/>
    <w:rsid w:val="00EB7A60"/>
    <w:rsid w:val="00ED0DD0"/>
    <w:rsid w:val="00ED2F6F"/>
    <w:rsid w:val="00EE5299"/>
    <w:rsid w:val="00EF555F"/>
    <w:rsid w:val="00F0313C"/>
    <w:rsid w:val="00F04672"/>
    <w:rsid w:val="00F14031"/>
    <w:rsid w:val="00F17233"/>
    <w:rsid w:val="00F27F99"/>
    <w:rsid w:val="00F32F99"/>
    <w:rsid w:val="00F43D1C"/>
    <w:rsid w:val="00F508A4"/>
    <w:rsid w:val="00F554CC"/>
    <w:rsid w:val="00F72355"/>
    <w:rsid w:val="00F81D9C"/>
    <w:rsid w:val="00F93C6E"/>
    <w:rsid w:val="00F96AA0"/>
    <w:rsid w:val="00FB0484"/>
    <w:rsid w:val="00FB4FD4"/>
    <w:rsid w:val="00FC53F1"/>
    <w:rsid w:val="00FC6797"/>
    <w:rsid w:val="00FE0973"/>
    <w:rsid w:val="00FE2A38"/>
    <w:rsid w:val="00FF6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7D49"/>
  <w15:chartTrackingRefBased/>
  <w15:docId w15:val="{12B7A3F2-5B22-4C27-91CC-DA5FB69D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30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12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712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915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0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830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712E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712E8"/>
    <w:pPr>
      <w:spacing w:after="0" w:line="240" w:lineRule="auto"/>
      <w:ind w:left="720"/>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712E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915A0"/>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584C53"/>
    <w:rPr>
      <w:color w:val="0563C1" w:themeColor="hyperlink"/>
      <w:u w:val="single"/>
    </w:rPr>
  </w:style>
  <w:style w:type="character" w:styleId="UnresolvedMention">
    <w:name w:val="Unresolved Mention"/>
    <w:basedOn w:val="DefaultParagraphFont"/>
    <w:uiPriority w:val="99"/>
    <w:semiHidden/>
    <w:unhideWhenUsed/>
    <w:rsid w:val="00584C53"/>
    <w:rPr>
      <w:color w:val="808080"/>
      <w:shd w:val="clear" w:color="auto" w:fill="E6E6E6"/>
    </w:rPr>
  </w:style>
  <w:style w:type="paragraph" w:styleId="NoSpacing">
    <w:name w:val="No Spacing"/>
    <w:uiPriority w:val="1"/>
    <w:qFormat/>
    <w:rsid w:val="00360CAA"/>
    <w:pPr>
      <w:spacing w:after="0" w:line="240" w:lineRule="auto"/>
    </w:pPr>
  </w:style>
  <w:style w:type="paragraph" w:styleId="Header">
    <w:name w:val="header"/>
    <w:basedOn w:val="Normal"/>
    <w:link w:val="HeaderChar"/>
    <w:uiPriority w:val="99"/>
    <w:unhideWhenUsed/>
    <w:rsid w:val="00DA6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B13"/>
  </w:style>
  <w:style w:type="paragraph" w:styleId="Footer">
    <w:name w:val="footer"/>
    <w:basedOn w:val="Normal"/>
    <w:link w:val="FooterChar"/>
    <w:uiPriority w:val="99"/>
    <w:unhideWhenUsed/>
    <w:rsid w:val="00DA6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B13"/>
  </w:style>
  <w:style w:type="paragraph" w:styleId="TOCHeading">
    <w:name w:val="TOC Heading"/>
    <w:basedOn w:val="Heading1"/>
    <w:next w:val="Normal"/>
    <w:uiPriority w:val="39"/>
    <w:unhideWhenUsed/>
    <w:qFormat/>
    <w:rsid w:val="00DA6B13"/>
    <w:pPr>
      <w:outlineLvl w:val="9"/>
    </w:pPr>
    <w:rPr>
      <w:lang w:val="en-US"/>
    </w:rPr>
  </w:style>
  <w:style w:type="paragraph" w:styleId="TOC1">
    <w:name w:val="toc 1"/>
    <w:basedOn w:val="Normal"/>
    <w:next w:val="Normal"/>
    <w:autoRedefine/>
    <w:uiPriority w:val="39"/>
    <w:unhideWhenUsed/>
    <w:rsid w:val="00DA6B13"/>
    <w:pPr>
      <w:spacing w:after="100"/>
    </w:pPr>
  </w:style>
  <w:style w:type="paragraph" w:styleId="TOC2">
    <w:name w:val="toc 2"/>
    <w:basedOn w:val="Normal"/>
    <w:next w:val="Normal"/>
    <w:autoRedefine/>
    <w:uiPriority w:val="39"/>
    <w:unhideWhenUsed/>
    <w:rsid w:val="00DA6B13"/>
    <w:pPr>
      <w:spacing w:after="100"/>
      <w:ind w:left="220"/>
    </w:pPr>
  </w:style>
  <w:style w:type="paragraph" w:styleId="TOC3">
    <w:name w:val="toc 3"/>
    <w:basedOn w:val="Normal"/>
    <w:next w:val="Normal"/>
    <w:autoRedefine/>
    <w:uiPriority w:val="39"/>
    <w:unhideWhenUsed/>
    <w:rsid w:val="00DA6B13"/>
    <w:pPr>
      <w:spacing w:after="100"/>
      <w:ind w:left="440"/>
    </w:pPr>
  </w:style>
  <w:style w:type="paragraph" w:styleId="TOC5">
    <w:name w:val="toc 5"/>
    <w:basedOn w:val="Normal"/>
    <w:next w:val="Normal"/>
    <w:autoRedefine/>
    <w:uiPriority w:val="39"/>
    <w:unhideWhenUsed/>
    <w:rsid w:val="00A21FDD"/>
    <w:pPr>
      <w:spacing w:after="100"/>
      <w:ind w:left="880"/>
    </w:pPr>
  </w:style>
  <w:style w:type="paragraph" w:styleId="TOC4">
    <w:name w:val="toc 4"/>
    <w:basedOn w:val="Normal"/>
    <w:next w:val="Normal"/>
    <w:autoRedefine/>
    <w:uiPriority w:val="39"/>
    <w:unhideWhenUsed/>
    <w:rsid w:val="00A21FDD"/>
    <w:pPr>
      <w:spacing w:after="100"/>
      <w:ind w:left="660"/>
    </w:pPr>
  </w:style>
  <w:style w:type="paragraph" w:styleId="FootnoteText">
    <w:name w:val="footnote text"/>
    <w:basedOn w:val="Normal"/>
    <w:link w:val="FootnoteTextChar"/>
    <w:uiPriority w:val="99"/>
    <w:semiHidden/>
    <w:unhideWhenUsed/>
    <w:rsid w:val="00086F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FBC"/>
    <w:rPr>
      <w:sz w:val="20"/>
      <w:szCs w:val="20"/>
    </w:rPr>
  </w:style>
  <w:style w:type="character" w:styleId="FootnoteReference">
    <w:name w:val="footnote reference"/>
    <w:basedOn w:val="DefaultParagraphFont"/>
    <w:uiPriority w:val="99"/>
    <w:semiHidden/>
    <w:unhideWhenUsed/>
    <w:rsid w:val="00086FBC"/>
    <w:rPr>
      <w:vertAlign w:val="superscript"/>
    </w:rPr>
  </w:style>
  <w:style w:type="table" w:styleId="TableGrid">
    <w:name w:val="Table Grid"/>
    <w:basedOn w:val="TableNormal"/>
    <w:uiPriority w:val="39"/>
    <w:rsid w:val="00B4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0D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6492">
      <w:bodyDiv w:val="1"/>
      <w:marLeft w:val="0"/>
      <w:marRight w:val="0"/>
      <w:marTop w:val="0"/>
      <w:marBottom w:val="0"/>
      <w:divBdr>
        <w:top w:val="none" w:sz="0" w:space="0" w:color="auto"/>
        <w:left w:val="none" w:sz="0" w:space="0" w:color="auto"/>
        <w:bottom w:val="none" w:sz="0" w:space="0" w:color="auto"/>
        <w:right w:val="none" w:sz="0" w:space="0" w:color="auto"/>
      </w:divBdr>
    </w:div>
    <w:div w:id="510610234">
      <w:bodyDiv w:val="1"/>
      <w:marLeft w:val="0"/>
      <w:marRight w:val="0"/>
      <w:marTop w:val="0"/>
      <w:marBottom w:val="0"/>
      <w:divBdr>
        <w:top w:val="none" w:sz="0" w:space="0" w:color="auto"/>
        <w:left w:val="none" w:sz="0" w:space="0" w:color="auto"/>
        <w:bottom w:val="none" w:sz="0" w:space="0" w:color="auto"/>
        <w:right w:val="none" w:sz="0" w:space="0" w:color="auto"/>
      </w:divBdr>
    </w:div>
    <w:div w:id="542864135">
      <w:bodyDiv w:val="1"/>
      <w:marLeft w:val="0"/>
      <w:marRight w:val="0"/>
      <w:marTop w:val="0"/>
      <w:marBottom w:val="0"/>
      <w:divBdr>
        <w:top w:val="none" w:sz="0" w:space="0" w:color="auto"/>
        <w:left w:val="none" w:sz="0" w:space="0" w:color="auto"/>
        <w:bottom w:val="none" w:sz="0" w:space="0" w:color="auto"/>
        <w:right w:val="none" w:sz="0" w:space="0" w:color="auto"/>
      </w:divBdr>
    </w:div>
    <w:div w:id="571892040">
      <w:bodyDiv w:val="1"/>
      <w:marLeft w:val="0"/>
      <w:marRight w:val="0"/>
      <w:marTop w:val="0"/>
      <w:marBottom w:val="0"/>
      <w:divBdr>
        <w:top w:val="none" w:sz="0" w:space="0" w:color="auto"/>
        <w:left w:val="none" w:sz="0" w:space="0" w:color="auto"/>
        <w:bottom w:val="none" w:sz="0" w:space="0" w:color="auto"/>
        <w:right w:val="none" w:sz="0" w:space="0" w:color="auto"/>
      </w:divBdr>
      <w:divsChild>
        <w:div w:id="1916820417">
          <w:marLeft w:val="360"/>
          <w:marRight w:val="0"/>
          <w:marTop w:val="0"/>
          <w:marBottom w:val="0"/>
          <w:divBdr>
            <w:top w:val="none" w:sz="0" w:space="0" w:color="auto"/>
            <w:left w:val="none" w:sz="0" w:space="0" w:color="auto"/>
            <w:bottom w:val="none" w:sz="0" w:space="0" w:color="auto"/>
            <w:right w:val="none" w:sz="0" w:space="0" w:color="auto"/>
          </w:divBdr>
        </w:div>
        <w:div w:id="1344434152">
          <w:marLeft w:val="360"/>
          <w:marRight w:val="0"/>
          <w:marTop w:val="0"/>
          <w:marBottom w:val="0"/>
          <w:divBdr>
            <w:top w:val="none" w:sz="0" w:space="0" w:color="auto"/>
            <w:left w:val="none" w:sz="0" w:space="0" w:color="auto"/>
            <w:bottom w:val="none" w:sz="0" w:space="0" w:color="auto"/>
            <w:right w:val="none" w:sz="0" w:space="0" w:color="auto"/>
          </w:divBdr>
        </w:div>
        <w:div w:id="1546024090">
          <w:marLeft w:val="360"/>
          <w:marRight w:val="0"/>
          <w:marTop w:val="0"/>
          <w:marBottom w:val="0"/>
          <w:divBdr>
            <w:top w:val="none" w:sz="0" w:space="0" w:color="auto"/>
            <w:left w:val="none" w:sz="0" w:space="0" w:color="auto"/>
            <w:bottom w:val="none" w:sz="0" w:space="0" w:color="auto"/>
            <w:right w:val="none" w:sz="0" w:space="0" w:color="auto"/>
          </w:divBdr>
        </w:div>
        <w:div w:id="1325671421">
          <w:marLeft w:val="360"/>
          <w:marRight w:val="0"/>
          <w:marTop w:val="0"/>
          <w:marBottom w:val="0"/>
          <w:divBdr>
            <w:top w:val="none" w:sz="0" w:space="0" w:color="auto"/>
            <w:left w:val="none" w:sz="0" w:space="0" w:color="auto"/>
            <w:bottom w:val="none" w:sz="0" w:space="0" w:color="auto"/>
            <w:right w:val="none" w:sz="0" w:space="0" w:color="auto"/>
          </w:divBdr>
        </w:div>
      </w:divsChild>
    </w:div>
    <w:div w:id="586696628">
      <w:bodyDiv w:val="1"/>
      <w:marLeft w:val="0"/>
      <w:marRight w:val="0"/>
      <w:marTop w:val="0"/>
      <w:marBottom w:val="0"/>
      <w:divBdr>
        <w:top w:val="none" w:sz="0" w:space="0" w:color="auto"/>
        <w:left w:val="none" w:sz="0" w:space="0" w:color="auto"/>
        <w:bottom w:val="none" w:sz="0" w:space="0" w:color="auto"/>
        <w:right w:val="none" w:sz="0" w:space="0" w:color="auto"/>
      </w:divBdr>
    </w:div>
    <w:div w:id="1277516939">
      <w:bodyDiv w:val="1"/>
      <w:marLeft w:val="0"/>
      <w:marRight w:val="0"/>
      <w:marTop w:val="0"/>
      <w:marBottom w:val="0"/>
      <w:divBdr>
        <w:top w:val="none" w:sz="0" w:space="0" w:color="auto"/>
        <w:left w:val="none" w:sz="0" w:space="0" w:color="auto"/>
        <w:bottom w:val="none" w:sz="0" w:space="0" w:color="auto"/>
        <w:right w:val="none" w:sz="0" w:space="0" w:color="auto"/>
      </w:divBdr>
    </w:div>
    <w:div w:id="1709917035">
      <w:bodyDiv w:val="1"/>
      <w:marLeft w:val="0"/>
      <w:marRight w:val="0"/>
      <w:marTop w:val="0"/>
      <w:marBottom w:val="0"/>
      <w:divBdr>
        <w:top w:val="none" w:sz="0" w:space="0" w:color="auto"/>
        <w:left w:val="none" w:sz="0" w:space="0" w:color="auto"/>
        <w:bottom w:val="none" w:sz="0" w:space="0" w:color="auto"/>
        <w:right w:val="none" w:sz="0" w:space="0" w:color="auto"/>
      </w:divBdr>
      <w:divsChild>
        <w:div w:id="293487454">
          <w:marLeft w:val="274"/>
          <w:marRight w:val="0"/>
          <w:marTop w:val="0"/>
          <w:marBottom w:val="0"/>
          <w:divBdr>
            <w:top w:val="none" w:sz="0" w:space="0" w:color="auto"/>
            <w:left w:val="none" w:sz="0" w:space="0" w:color="auto"/>
            <w:bottom w:val="none" w:sz="0" w:space="0" w:color="auto"/>
            <w:right w:val="none" w:sz="0" w:space="0" w:color="auto"/>
          </w:divBdr>
        </w:div>
        <w:div w:id="1784686764">
          <w:marLeft w:val="274"/>
          <w:marRight w:val="0"/>
          <w:marTop w:val="0"/>
          <w:marBottom w:val="0"/>
          <w:divBdr>
            <w:top w:val="none" w:sz="0" w:space="0" w:color="auto"/>
            <w:left w:val="none" w:sz="0" w:space="0" w:color="auto"/>
            <w:bottom w:val="none" w:sz="0" w:space="0" w:color="auto"/>
            <w:right w:val="none" w:sz="0" w:space="0" w:color="auto"/>
          </w:divBdr>
        </w:div>
      </w:divsChild>
    </w:div>
    <w:div w:id="1973708350">
      <w:bodyDiv w:val="1"/>
      <w:marLeft w:val="0"/>
      <w:marRight w:val="0"/>
      <w:marTop w:val="0"/>
      <w:marBottom w:val="0"/>
      <w:divBdr>
        <w:top w:val="none" w:sz="0" w:space="0" w:color="auto"/>
        <w:left w:val="none" w:sz="0" w:space="0" w:color="auto"/>
        <w:bottom w:val="none" w:sz="0" w:space="0" w:color="auto"/>
        <w:right w:val="none" w:sz="0" w:space="0" w:color="auto"/>
      </w:divBdr>
    </w:div>
    <w:div w:id="2115513592">
      <w:bodyDiv w:val="1"/>
      <w:marLeft w:val="0"/>
      <w:marRight w:val="0"/>
      <w:marTop w:val="0"/>
      <w:marBottom w:val="0"/>
      <w:divBdr>
        <w:top w:val="none" w:sz="0" w:space="0" w:color="auto"/>
        <w:left w:val="none" w:sz="0" w:space="0" w:color="auto"/>
        <w:bottom w:val="none" w:sz="0" w:space="0" w:color="auto"/>
        <w:right w:val="none" w:sz="0" w:space="0" w:color="auto"/>
      </w:divBdr>
    </w:div>
    <w:div w:id="2123724130">
      <w:bodyDiv w:val="1"/>
      <w:marLeft w:val="0"/>
      <w:marRight w:val="0"/>
      <w:marTop w:val="0"/>
      <w:marBottom w:val="0"/>
      <w:divBdr>
        <w:top w:val="none" w:sz="0" w:space="0" w:color="auto"/>
        <w:left w:val="none" w:sz="0" w:space="0" w:color="auto"/>
        <w:bottom w:val="none" w:sz="0" w:space="0" w:color="auto"/>
        <w:right w:val="none" w:sz="0" w:space="0" w:color="auto"/>
      </w:divBdr>
      <w:divsChild>
        <w:div w:id="1961643258">
          <w:marLeft w:val="0"/>
          <w:marRight w:val="0"/>
          <w:marTop w:val="0"/>
          <w:marBottom w:val="0"/>
          <w:divBdr>
            <w:top w:val="none" w:sz="0" w:space="0" w:color="auto"/>
            <w:left w:val="none" w:sz="0" w:space="0" w:color="auto"/>
            <w:bottom w:val="none" w:sz="0" w:space="0" w:color="auto"/>
            <w:right w:val="none" w:sz="0" w:space="0" w:color="auto"/>
          </w:divBdr>
          <w:divsChild>
            <w:div w:id="1387484131">
              <w:marLeft w:val="0"/>
              <w:marRight w:val="0"/>
              <w:marTop w:val="0"/>
              <w:marBottom w:val="0"/>
              <w:divBdr>
                <w:top w:val="none" w:sz="0" w:space="0" w:color="auto"/>
                <w:left w:val="none" w:sz="0" w:space="0" w:color="auto"/>
                <w:bottom w:val="none" w:sz="0" w:space="0" w:color="auto"/>
                <w:right w:val="none" w:sz="0" w:space="0" w:color="auto"/>
              </w:divBdr>
            </w:div>
            <w:div w:id="1155997641">
              <w:marLeft w:val="0"/>
              <w:marRight w:val="0"/>
              <w:marTop w:val="0"/>
              <w:marBottom w:val="0"/>
              <w:divBdr>
                <w:top w:val="none" w:sz="0" w:space="0" w:color="auto"/>
                <w:left w:val="none" w:sz="0" w:space="0" w:color="auto"/>
                <w:bottom w:val="none" w:sz="0" w:space="0" w:color="auto"/>
                <w:right w:val="none" w:sz="0" w:space="0" w:color="auto"/>
              </w:divBdr>
            </w:div>
          </w:divsChild>
        </w:div>
        <w:div w:id="1926692954">
          <w:marLeft w:val="0"/>
          <w:marRight w:val="0"/>
          <w:marTop w:val="0"/>
          <w:marBottom w:val="0"/>
          <w:divBdr>
            <w:top w:val="none" w:sz="0" w:space="0" w:color="auto"/>
            <w:left w:val="none" w:sz="0" w:space="0" w:color="auto"/>
            <w:bottom w:val="none" w:sz="0" w:space="0" w:color="auto"/>
            <w:right w:val="none" w:sz="0" w:space="0" w:color="auto"/>
          </w:divBdr>
          <w:divsChild>
            <w:div w:id="372583913">
              <w:marLeft w:val="1800"/>
              <w:marRight w:val="1800"/>
              <w:marTop w:val="0"/>
              <w:marBottom w:val="0"/>
              <w:divBdr>
                <w:top w:val="none" w:sz="0" w:space="0" w:color="auto"/>
                <w:left w:val="none" w:sz="0" w:space="0" w:color="auto"/>
                <w:bottom w:val="none" w:sz="0" w:space="0" w:color="auto"/>
                <w:right w:val="none" w:sz="0" w:space="0" w:color="auto"/>
              </w:divBdr>
              <w:divsChild>
                <w:div w:id="1235820643">
                  <w:marLeft w:val="0"/>
                  <w:marRight w:val="0"/>
                  <w:marTop w:val="0"/>
                  <w:marBottom w:val="0"/>
                  <w:divBdr>
                    <w:top w:val="none" w:sz="0" w:space="0" w:color="auto"/>
                    <w:left w:val="none" w:sz="0" w:space="0" w:color="auto"/>
                    <w:bottom w:val="none" w:sz="0" w:space="0" w:color="auto"/>
                    <w:right w:val="none" w:sz="0" w:space="0" w:color="auto"/>
                  </w:divBdr>
                  <w:divsChild>
                    <w:div w:id="811797600">
                      <w:marLeft w:val="0"/>
                      <w:marRight w:val="0"/>
                      <w:marTop w:val="0"/>
                      <w:marBottom w:val="0"/>
                      <w:divBdr>
                        <w:top w:val="none" w:sz="0" w:space="0" w:color="auto"/>
                        <w:left w:val="none" w:sz="0" w:space="0" w:color="auto"/>
                        <w:bottom w:val="none" w:sz="0" w:space="0" w:color="auto"/>
                        <w:right w:val="none" w:sz="0" w:space="0" w:color="auto"/>
                      </w:divBdr>
                      <w:divsChild>
                        <w:div w:id="1329021402">
                          <w:marLeft w:val="0"/>
                          <w:marRight w:val="0"/>
                          <w:marTop w:val="0"/>
                          <w:marBottom w:val="0"/>
                          <w:divBdr>
                            <w:top w:val="none" w:sz="0" w:space="0" w:color="auto"/>
                            <w:left w:val="none" w:sz="0" w:space="0" w:color="auto"/>
                            <w:bottom w:val="none" w:sz="0" w:space="0" w:color="auto"/>
                            <w:right w:val="none" w:sz="0" w:space="0" w:color="auto"/>
                          </w:divBdr>
                        </w:div>
                        <w:div w:id="1374572394">
                          <w:marLeft w:val="0"/>
                          <w:marRight w:val="0"/>
                          <w:marTop w:val="0"/>
                          <w:marBottom w:val="0"/>
                          <w:divBdr>
                            <w:top w:val="none" w:sz="0" w:space="0" w:color="auto"/>
                            <w:left w:val="none" w:sz="0" w:space="0" w:color="auto"/>
                            <w:bottom w:val="none" w:sz="0" w:space="0" w:color="auto"/>
                            <w:right w:val="none" w:sz="0" w:space="0" w:color="auto"/>
                          </w:divBdr>
                        </w:div>
                        <w:div w:id="7501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38573">
              <w:marLeft w:val="0"/>
              <w:marRight w:val="0"/>
              <w:marTop w:val="75"/>
              <w:marBottom w:val="0"/>
              <w:divBdr>
                <w:top w:val="none" w:sz="0" w:space="0" w:color="auto"/>
                <w:left w:val="none" w:sz="0" w:space="0" w:color="auto"/>
                <w:bottom w:val="none" w:sz="0" w:space="0" w:color="auto"/>
                <w:right w:val="none" w:sz="0" w:space="0" w:color="auto"/>
              </w:divBdr>
              <w:divsChild>
                <w:div w:id="849298172">
                  <w:marLeft w:val="0"/>
                  <w:marRight w:val="0"/>
                  <w:marTop w:val="0"/>
                  <w:marBottom w:val="0"/>
                  <w:divBdr>
                    <w:top w:val="none" w:sz="0" w:space="0" w:color="auto"/>
                    <w:left w:val="none" w:sz="0" w:space="0" w:color="auto"/>
                    <w:bottom w:val="none" w:sz="0" w:space="0" w:color="auto"/>
                    <w:right w:val="none" w:sz="0" w:space="0" w:color="auto"/>
                  </w:divBdr>
                  <w:divsChild>
                    <w:div w:id="1211070087">
                      <w:marLeft w:val="0"/>
                      <w:marRight w:val="0"/>
                      <w:marTop w:val="0"/>
                      <w:marBottom w:val="0"/>
                      <w:divBdr>
                        <w:top w:val="none" w:sz="0" w:space="0" w:color="auto"/>
                        <w:left w:val="none" w:sz="0" w:space="0" w:color="auto"/>
                        <w:bottom w:val="none" w:sz="0" w:space="0" w:color="auto"/>
                        <w:right w:val="none" w:sz="0" w:space="0" w:color="auto"/>
                      </w:divBdr>
                    </w:div>
                    <w:div w:id="1328362667">
                      <w:marLeft w:val="0"/>
                      <w:marRight w:val="0"/>
                      <w:marTop w:val="0"/>
                      <w:marBottom w:val="0"/>
                      <w:divBdr>
                        <w:top w:val="none" w:sz="0" w:space="0" w:color="auto"/>
                        <w:left w:val="none" w:sz="0" w:space="0" w:color="auto"/>
                        <w:bottom w:val="none" w:sz="0" w:space="0" w:color="auto"/>
                        <w:right w:val="none" w:sz="0" w:space="0" w:color="auto"/>
                      </w:divBdr>
                    </w:div>
                    <w:div w:id="1811433183">
                      <w:marLeft w:val="0"/>
                      <w:marRight w:val="0"/>
                      <w:marTop w:val="0"/>
                      <w:marBottom w:val="0"/>
                      <w:divBdr>
                        <w:top w:val="none" w:sz="0" w:space="0" w:color="auto"/>
                        <w:left w:val="none" w:sz="0" w:space="0" w:color="auto"/>
                        <w:bottom w:val="none" w:sz="0" w:space="0" w:color="auto"/>
                        <w:right w:val="none" w:sz="0" w:space="0" w:color="auto"/>
                      </w:divBdr>
                      <w:divsChild>
                        <w:div w:id="1521042583">
                          <w:marLeft w:val="0"/>
                          <w:marRight w:val="0"/>
                          <w:marTop w:val="0"/>
                          <w:marBottom w:val="0"/>
                          <w:divBdr>
                            <w:top w:val="none" w:sz="0" w:space="0" w:color="auto"/>
                            <w:left w:val="none" w:sz="0" w:space="0" w:color="auto"/>
                            <w:bottom w:val="none" w:sz="0" w:space="0" w:color="auto"/>
                            <w:right w:val="none" w:sz="0" w:space="0" w:color="auto"/>
                          </w:divBdr>
                          <w:divsChild>
                            <w:div w:id="6682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80">
                      <w:marLeft w:val="0"/>
                      <w:marRight w:val="150"/>
                      <w:marTop w:val="0"/>
                      <w:marBottom w:val="0"/>
                      <w:divBdr>
                        <w:top w:val="none" w:sz="0" w:space="0" w:color="auto"/>
                        <w:left w:val="none" w:sz="0" w:space="0" w:color="auto"/>
                        <w:bottom w:val="none" w:sz="0" w:space="0" w:color="auto"/>
                        <w:right w:val="none" w:sz="0" w:space="0" w:color="auto"/>
                      </w:divBdr>
                    </w:div>
                    <w:div w:id="1462571079">
                      <w:marLeft w:val="0"/>
                      <w:marRight w:val="0"/>
                      <w:marTop w:val="0"/>
                      <w:marBottom w:val="0"/>
                      <w:divBdr>
                        <w:top w:val="none" w:sz="0" w:space="0" w:color="auto"/>
                        <w:left w:val="none" w:sz="0" w:space="0" w:color="auto"/>
                        <w:bottom w:val="none" w:sz="0" w:space="0" w:color="auto"/>
                        <w:right w:val="none" w:sz="0" w:space="0" w:color="auto"/>
                      </w:divBdr>
                    </w:div>
                    <w:div w:id="2111310157">
                      <w:marLeft w:val="0"/>
                      <w:marRight w:val="0"/>
                      <w:marTop w:val="0"/>
                      <w:marBottom w:val="0"/>
                      <w:divBdr>
                        <w:top w:val="none" w:sz="0" w:space="0" w:color="auto"/>
                        <w:left w:val="none" w:sz="0" w:space="0" w:color="auto"/>
                        <w:bottom w:val="none" w:sz="0" w:space="0" w:color="auto"/>
                        <w:right w:val="none" w:sz="0" w:space="0" w:color="auto"/>
                      </w:divBdr>
                      <w:divsChild>
                        <w:div w:id="58477917">
                          <w:marLeft w:val="0"/>
                          <w:marRight w:val="0"/>
                          <w:marTop w:val="0"/>
                          <w:marBottom w:val="0"/>
                          <w:divBdr>
                            <w:top w:val="none" w:sz="0" w:space="0" w:color="auto"/>
                            <w:left w:val="none" w:sz="0" w:space="0" w:color="auto"/>
                            <w:bottom w:val="none" w:sz="0" w:space="0" w:color="auto"/>
                            <w:right w:val="none" w:sz="0" w:space="0" w:color="auto"/>
                          </w:divBdr>
                          <w:divsChild>
                            <w:div w:id="1052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3041">
                      <w:marLeft w:val="0"/>
                      <w:marRight w:val="150"/>
                      <w:marTop w:val="0"/>
                      <w:marBottom w:val="0"/>
                      <w:divBdr>
                        <w:top w:val="none" w:sz="0" w:space="0" w:color="auto"/>
                        <w:left w:val="none" w:sz="0" w:space="0" w:color="auto"/>
                        <w:bottom w:val="none" w:sz="0" w:space="0" w:color="auto"/>
                        <w:right w:val="none" w:sz="0" w:space="0" w:color="auto"/>
                      </w:divBdr>
                    </w:div>
                    <w:div w:id="17390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4275</Words>
  <Characters>24373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Edwards-Smith</dc:creator>
  <cp:keywords/>
  <dc:description/>
  <cp:lastModifiedBy>Elizabeth Edwards-Smith</cp:lastModifiedBy>
  <cp:revision>4</cp:revision>
  <cp:lastPrinted>2018-07-04T08:46:00Z</cp:lastPrinted>
  <dcterms:created xsi:type="dcterms:W3CDTF">2018-07-03T12:16:00Z</dcterms:created>
  <dcterms:modified xsi:type="dcterms:W3CDTF">2018-07-04T08:56:00Z</dcterms:modified>
</cp:coreProperties>
</file>